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pPr w:leftFromText="180" w:rightFromText="180" w:vertAnchor="text" w:horzAnchor="margin" w:tblpY="-52"/>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652"/>
        <w:gridCol w:w="6237"/>
      </w:tblGrid>
      <w:tr w:rsidR="002B7980" w:rsidRPr="002B7980" w:rsidTr="005931D1">
        <w:trPr>
          <w:trHeight w:val="1519"/>
        </w:trPr>
        <w:tc>
          <w:tcPr>
            <w:tcW w:w="3652" w:type="dxa"/>
          </w:tcPr>
          <w:p w:rsidR="002B7980" w:rsidRPr="002B7980" w:rsidRDefault="002B7980" w:rsidP="002B7980">
            <w:pPr>
              <w:ind w:firstLine="0"/>
              <w:jc w:val="center"/>
              <w:rPr>
                <w:rFonts w:asciiTheme="majorHAnsi" w:eastAsia="Times New Roman" w:hAnsiTheme="majorHAnsi" w:cstheme="majorHAnsi"/>
                <w:b/>
                <w:bCs/>
                <w:sz w:val="26"/>
                <w:szCs w:val="26"/>
                <w:lang w:val="en-US" w:eastAsia="vi-VN"/>
              </w:rPr>
            </w:pPr>
            <w:r w:rsidRPr="002B7980">
              <w:rPr>
                <w:rFonts w:asciiTheme="majorHAnsi" w:eastAsia="Times New Roman" w:hAnsiTheme="majorHAnsi" w:cstheme="majorHAnsi"/>
                <w:b/>
                <w:bCs/>
                <w:sz w:val="26"/>
                <w:szCs w:val="26"/>
                <w:lang w:val="en-US" w:eastAsia="vi-VN"/>
              </w:rPr>
              <w:t>UBND TỈNH VĨNH PHÚ</w:t>
            </w:r>
          </w:p>
          <w:p w:rsidR="002B7980" w:rsidRPr="002B7980" w:rsidRDefault="002B7980" w:rsidP="002B7980">
            <w:pPr>
              <w:ind w:firstLine="0"/>
              <w:jc w:val="center"/>
              <w:rPr>
                <w:rFonts w:asciiTheme="majorHAnsi" w:eastAsia="Times New Roman" w:hAnsiTheme="majorHAnsi" w:cstheme="majorHAnsi"/>
                <w:sz w:val="26"/>
                <w:szCs w:val="26"/>
                <w:lang w:val="en-US" w:eastAsia="vi-VN"/>
              </w:rPr>
            </w:pPr>
            <w:r w:rsidRPr="002B7980">
              <w:rPr>
                <w:rFonts w:asciiTheme="majorHAnsi" w:eastAsia="Times New Roman" w:hAnsiTheme="majorHAnsi" w:cstheme="majorHAnsi"/>
                <w:b/>
                <w:bCs/>
                <w:noProof/>
                <w:sz w:val="26"/>
                <w:szCs w:val="26"/>
                <w:lang w:eastAsia="vi-VN"/>
              </w:rPr>
              <w:pict>
                <v:shapetype id="_x0000_t32" coordsize="21600,21600" o:spt="32" o:oned="t" path="m,l21600,21600e" filled="f">
                  <v:path arrowok="t" fillok="f" o:connecttype="none"/>
                  <o:lock v:ext="edit" shapetype="t"/>
                </v:shapetype>
                <v:shape id="_x0000_s1026" type="#_x0000_t32" style="position:absolute;left:0;text-align:left;margin-left:46.2pt;margin-top:-.35pt;width:71.25pt;height:0;z-index:251660288" o:connectortype="straight"/>
              </w:pict>
            </w:r>
          </w:p>
          <w:p w:rsidR="002B7980" w:rsidRPr="002B7980" w:rsidRDefault="002B7980" w:rsidP="002B7980">
            <w:pPr>
              <w:ind w:firstLine="0"/>
              <w:jc w:val="center"/>
              <w:rPr>
                <w:rFonts w:asciiTheme="majorHAnsi" w:eastAsia="Times New Roman" w:hAnsiTheme="majorHAnsi" w:cstheme="majorHAnsi"/>
                <w:sz w:val="26"/>
                <w:szCs w:val="26"/>
                <w:lang w:val="en-US" w:eastAsia="vi-VN"/>
              </w:rPr>
            </w:pPr>
            <w:r w:rsidRPr="002B7980">
              <w:rPr>
                <w:rFonts w:asciiTheme="majorHAnsi" w:eastAsia="Times New Roman" w:hAnsiTheme="majorHAnsi" w:cstheme="majorHAnsi"/>
                <w:sz w:val="26"/>
                <w:szCs w:val="26"/>
                <w:lang w:eastAsia="vi-VN"/>
              </w:rPr>
              <w:t xml:space="preserve">Số: </w:t>
            </w:r>
            <w:r w:rsidRPr="002B7980">
              <w:rPr>
                <w:rFonts w:asciiTheme="majorHAnsi" w:hAnsiTheme="majorHAnsi" w:cstheme="majorHAnsi"/>
                <w:b/>
                <w:bCs/>
                <w:sz w:val="26"/>
                <w:szCs w:val="26"/>
              </w:rPr>
              <w:t>1018/QĐ-UB</w:t>
            </w:r>
          </w:p>
        </w:tc>
        <w:tc>
          <w:tcPr>
            <w:tcW w:w="6237" w:type="dxa"/>
          </w:tcPr>
          <w:p w:rsidR="002B7980" w:rsidRPr="002B7980" w:rsidRDefault="002B7980" w:rsidP="002B7980">
            <w:pPr>
              <w:ind w:firstLine="0"/>
              <w:jc w:val="center"/>
              <w:rPr>
                <w:rFonts w:asciiTheme="majorHAnsi" w:eastAsia="Times New Roman" w:hAnsiTheme="majorHAnsi" w:cstheme="majorHAnsi"/>
                <w:sz w:val="26"/>
                <w:szCs w:val="26"/>
                <w:lang w:eastAsia="vi-VN"/>
              </w:rPr>
            </w:pPr>
            <w:r w:rsidRPr="002B7980">
              <w:rPr>
                <w:rFonts w:asciiTheme="majorHAnsi" w:eastAsia="Times New Roman" w:hAnsiTheme="majorHAnsi" w:cstheme="majorHAnsi"/>
                <w:b/>
                <w:bCs/>
                <w:sz w:val="26"/>
                <w:szCs w:val="26"/>
                <w:lang w:eastAsia="vi-VN"/>
              </w:rPr>
              <w:t>CỘNG HOÀ XÃ HỘI CHỦ NGHĨA VIỆT NAM</w:t>
            </w:r>
          </w:p>
          <w:p w:rsidR="002B7980" w:rsidRPr="002B7980" w:rsidRDefault="002B7980" w:rsidP="002B7980">
            <w:pPr>
              <w:ind w:firstLine="0"/>
              <w:jc w:val="center"/>
              <w:rPr>
                <w:rFonts w:asciiTheme="majorHAnsi" w:eastAsia="Times New Roman" w:hAnsiTheme="majorHAnsi" w:cstheme="majorHAnsi"/>
                <w:b/>
                <w:bCs/>
                <w:sz w:val="26"/>
                <w:szCs w:val="26"/>
                <w:lang w:val="en-US" w:eastAsia="vi-VN"/>
              </w:rPr>
            </w:pPr>
            <w:r w:rsidRPr="002B7980">
              <w:rPr>
                <w:rFonts w:asciiTheme="majorHAnsi" w:eastAsia="Times New Roman" w:hAnsiTheme="majorHAnsi" w:cstheme="majorHAnsi"/>
                <w:b/>
                <w:bCs/>
                <w:sz w:val="26"/>
                <w:szCs w:val="26"/>
                <w:lang w:eastAsia="vi-VN"/>
              </w:rPr>
              <w:t>Độc lập - Tự do - Hạnh phúc</w:t>
            </w:r>
          </w:p>
          <w:p w:rsidR="002B7980" w:rsidRPr="002B7980" w:rsidRDefault="002B7980" w:rsidP="002B7980">
            <w:pPr>
              <w:ind w:firstLine="0"/>
              <w:jc w:val="center"/>
              <w:rPr>
                <w:rFonts w:asciiTheme="majorHAnsi" w:eastAsia="Times New Roman" w:hAnsiTheme="majorHAnsi" w:cstheme="majorHAnsi"/>
                <w:sz w:val="26"/>
                <w:szCs w:val="26"/>
                <w:lang w:val="en-US" w:eastAsia="vi-VN"/>
              </w:rPr>
            </w:pPr>
            <w:r w:rsidRPr="002B7980">
              <w:rPr>
                <w:rFonts w:asciiTheme="majorHAnsi" w:eastAsia="Times New Roman" w:hAnsiTheme="majorHAnsi" w:cstheme="majorHAnsi"/>
                <w:noProof/>
                <w:sz w:val="26"/>
                <w:szCs w:val="26"/>
                <w:lang w:eastAsia="vi-VN"/>
              </w:rPr>
              <w:pict>
                <v:shape id="_x0000_s1027" type="#_x0000_t32" style="position:absolute;left:0;text-align:left;margin-left:82.05pt;margin-top:3pt;width:163.5pt;height:0;z-index:251661312" o:connectortype="straight"/>
              </w:pict>
            </w:r>
          </w:p>
          <w:p w:rsidR="002B7980" w:rsidRPr="002B7980" w:rsidRDefault="002B7980" w:rsidP="002B7980">
            <w:pPr>
              <w:ind w:firstLine="0"/>
              <w:jc w:val="center"/>
              <w:rPr>
                <w:rFonts w:asciiTheme="majorHAnsi" w:eastAsia="Times New Roman" w:hAnsiTheme="majorHAnsi" w:cstheme="majorHAnsi"/>
                <w:b/>
                <w:bCs/>
                <w:sz w:val="26"/>
                <w:szCs w:val="26"/>
                <w:lang w:eastAsia="vi-VN"/>
              </w:rPr>
            </w:pPr>
            <w:r w:rsidRPr="002B7980">
              <w:rPr>
                <w:rFonts w:asciiTheme="majorHAnsi" w:hAnsiTheme="majorHAnsi" w:cstheme="majorHAnsi"/>
                <w:i/>
                <w:iCs/>
                <w:sz w:val="26"/>
                <w:szCs w:val="26"/>
              </w:rPr>
              <w:t>Hà Nội, ngày 30 tháng 5 năm 1996</w:t>
            </w:r>
          </w:p>
        </w:tc>
      </w:tr>
    </w:tbl>
    <w:p w:rsidR="002B7980" w:rsidRPr="002B7980" w:rsidRDefault="002B7980" w:rsidP="002B7980">
      <w:pPr>
        <w:spacing w:before="120" w:after="120"/>
        <w:jc w:val="center"/>
        <w:rPr>
          <w:rFonts w:asciiTheme="majorHAnsi" w:eastAsia="Times New Roman" w:hAnsiTheme="majorHAnsi" w:cstheme="majorHAnsi"/>
          <w:b/>
          <w:bCs/>
          <w:sz w:val="28"/>
          <w:szCs w:val="28"/>
          <w:lang w:eastAsia="vi-VN"/>
        </w:rPr>
      </w:pPr>
      <w:r w:rsidRPr="002B7980">
        <w:rPr>
          <w:rFonts w:asciiTheme="majorHAnsi" w:eastAsia="Times New Roman" w:hAnsiTheme="majorHAnsi" w:cstheme="majorHAnsi"/>
          <w:b/>
          <w:bCs/>
          <w:sz w:val="28"/>
          <w:szCs w:val="28"/>
          <w:lang w:eastAsia="vi-VN"/>
        </w:rPr>
        <w:t>QUYẾT ĐỊNH CỦA UBND TỈNH VĨNH PHÚ</w:t>
      </w:r>
    </w:p>
    <w:p w:rsidR="002B7980" w:rsidRPr="002B7980" w:rsidRDefault="002B7980" w:rsidP="002B7980">
      <w:pPr>
        <w:spacing w:before="120" w:after="120"/>
        <w:jc w:val="center"/>
        <w:rPr>
          <w:rFonts w:asciiTheme="majorHAnsi" w:eastAsia="Times New Roman" w:hAnsiTheme="majorHAnsi" w:cstheme="majorHAnsi"/>
          <w:b/>
          <w:bCs/>
          <w:i/>
          <w:iCs/>
          <w:sz w:val="28"/>
          <w:szCs w:val="28"/>
          <w:lang w:eastAsia="vi-VN"/>
        </w:rPr>
      </w:pPr>
      <w:r w:rsidRPr="002B7980">
        <w:rPr>
          <w:rFonts w:asciiTheme="majorHAnsi" w:eastAsia="Times New Roman" w:hAnsiTheme="majorHAnsi" w:cstheme="majorHAnsi"/>
          <w:b/>
          <w:bCs/>
          <w:i/>
          <w:iCs/>
          <w:sz w:val="28"/>
          <w:szCs w:val="28"/>
          <w:lang w:eastAsia="vi-VN"/>
        </w:rPr>
        <w:t>Về việc quy định mức thu phí vệ sinh</w:t>
      </w:r>
    </w:p>
    <w:p w:rsidR="002B7980" w:rsidRPr="002B7980" w:rsidRDefault="002B7980" w:rsidP="002B7980">
      <w:pPr>
        <w:spacing w:before="120" w:after="120"/>
        <w:jc w:val="center"/>
        <w:rPr>
          <w:rFonts w:asciiTheme="majorHAnsi" w:eastAsia="Times New Roman" w:hAnsiTheme="majorHAnsi" w:cstheme="majorHAnsi"/>
          <w:b/>
          <w:bCs/>
          <w:i/>
          <w:iCs/>
          <w:sz w:val="28"/>
          <w:szCs w:val="28"/>
          <w:lang w:eastAsia="vi-VN"/>
        </w:rPr>
      </w:pPr>
    </w:p>
    <w:p w:rsidR="002B7980" w:rsidRPr="002B7980" w:rsidRDefault="002B7980" w:rsidP="002B7980">
      <w:pPr>
        <w:spacing w:before="120" w:after="120"/>
        <w:jc w:val="center"/>
        <w:rPr>
          <w:rFonts w:asciiTheme="majorHAnsi" w:eastAsia="Times New Roman" w:hAnsiTheme="majorHAnsi" w:cstheme="majorHAnsi"/>
          <w:b/>
          <w:bCs/>
          <w:sz w:val="28"/>
          <w:szCs w:val="28"/>
          <w:lang w:eastAsia="vi-VN"/>
        </w:rPr>
      </w:pPr>
      <w:r w:rsidRPr="002B7980">
        <w:rPr>
          <w:rFonts w:asciiTheme="majorHAnsi" w:eastAsia="Times New Roman" w:hAnsiTheme="majorHAnsi" w:cstheme="majorHAnsi"/>
          <w:b/>
          <w:bCs/>
          <w:sz w:val="28"/>
          <w:szCs w:val="28"/>
          <w:lang w:eastAsia="vi-VN"/>
        </w:rPr>
        <w:t>UBND TỈNH VĨNH PHÚ</w:t>
      </w:r>
    </w:p>
    <w:p w:rsidR="002B7980" w:rsidRPr="002B7980" w:rsidRDefault="002B7980" w:rsidP="002B7980">
      <w:pPr>
        <w:spacing w:before="120" w:after="120"/>
        <w:rPr>
          <w:rFonts w:asciiTheme="majorHAnsi" w:eastAsia="Times New Roman" w:hAnsiTheme="majorHAnsi" w:cstheme="majorHAnsi"/>
          <w:i/>
          <w:iCs/>
          <w:sz w:val="28"/>
          <w:szCs w:val="28"/>
          <w:lang w:eastAsia="vi-VN"/>
        </w:rPr>
      </w:pPr>
      <w:r w:rsidRPr="002B7980">
        <w:rPr>
          <w:rFonts w:asciiTheme="majorHAnsi" w:eastAsia="Times New Roman" w:hAnsiTheme="majorHAnsi" w:cstheme="majorHAnsi"/>
          <w:i/>
          <w:iCs/>
          <w:sz w:val="28"/>
          <w:szCs w:val="28"/>
          <w:lang w:eastAsia="vi-VN"/>
        </w:rPr>
        <w:t xml:space="preserve">Căn cứ Luật tổ chức HĐND và UBND được Quốc hội thông qua ngày 21/6/1994. </w:t>
      </w:r>
    </w:p>
    <w:p w:rsidR="002B7980" w:rsidRPr="002B7980" w:rsidRDefault="002B7980" w:rsidP="002B7980">
      <w:pPr>
        <w:spacing w:before="120" w:after="120"/>
        <w:rPr>
          <w:rFonts w:asciiTheme="majorHAnsi" w:eastAsia="Times New Roman" w:hAnsiTheme="majorHAnsi" w:cstheme="majorHAnsi"/>
          <w:i/>
          <w:iCs/>
          <w:sz w:val="28"/>
          <w:szCs w:val="28"/>
          <w:lang w:eastAsia="vi-VN"/>
        </w:rPr>
      </w:pPr>
      <w:r w:rsidRPr="002B7980">
        <w:rPr>
          <w:rFonts w:asciiTheme="majorHAnsi" w:eastAsia="Times New Roman" w:hAnsiTheme="majorHAnsi" w:cstheme="majorHAnsi"/>
          <w:i/>
          <w:iCs/>
          <w:sz w:val="28"/>
          <w:szCs w:val="28"/>
          <w:lang w:eastAsia="vi-VN"/>
        </w:rPr>
        <w:t xml:space="preserve">Căn cứ Quyết định số 276/CT ngày 28/7/1992 của Chủ tịch Hội đồng Bộ trưởng (nay là Thủ tướng Chính phủ) về việc thống nhất quản lý các loại phí và lệ phí. </w:t>
      </w:r>
    </w:p>
    <w:p w:rsidR="002B7980" w:rsidRPr="002B7980" w:rsidRDefault="002B7980" w:rsidP="002B7980">
      <w:pPr>
        <w:spacing w:before="120" w:after="120"/>
        <w:rPr>
          <w:rFonts w:asciiTheme="majorHAnsi" w:eastAsia="Times New Roman" w:hAnsiTheme="majorHAnsi" w:cstheme="majorHAnsi"/>
          <w:i/>
          <w:iCs/>
          <w:sz w:val="28"/>
          <w:szCs w:val="28"/>
          <w:lang w:eastAsia="vi-VN"/>
        </w:rPr>
      </w:pPr>
      <w:r w:rsidRPr="002B7980">
        <w:rPr>
          <w:rFonts w:asciiTheme="majorHAnsi" w:eastAsia="Times New Roman" w:hAnsiTheme="majorHAnsi" w:cstheme="majorHAnsi"/>
          <w:i/>
          <w:iCs/>
          <w:sz w:val="28"/>
          <w:szCs w:val="28"/>
          <w:lang w:eastAsia="vi-VN"/>
        </w:rPr>
        <w:t xml:space="preserve">Căn cứ Thông tư số 48/T C-TCT ngày 28/9/1992 của Bộ Tài chính hướng dẫn thi hành quyết định số 276/CT ngày 28/7/1992 của Hội đồng Bộ trưởng về việc thống nhất quản lý các loại phí và lệ phí. </w:t>
      </w:r>
    </w:p>
    <w:p w:rsidR="002B7980" w:rsidRPr="002B7980" w:rsidRDefault="002B7980" w:rsidP="002B7980">
      <w:pPr>
        <w:spacing w:before="120" w:after="120"/>
        <w:rPr>
          <w:rFonts w:asciiTheme="majorHAnsi" w:eastAsia="Times New Roman" w:hAnsiTheme="majorHAnsi" w:cstheme="majorHAnsi"/>
          <w:i/>
          <w:iCs/>
          <w:sz w:val="28"/>
          <w:szCs w:val="28"/>
          <w:lang w:eastAsia="vi-VN"/>
        </w:rPr>
      </w:pPr>
      <w:r w:rsidRPr="002B7980">
        <w:rPr>
          <w:rFonts w:asciiTheme="majorHAnsi" w:eastAsia="Times New Roman" w:hAnsiTheme="majorHAnsi" w:cstheme="majorHAnsi"/>
          <w:i/>
          <w:iCs/>
          <w:sz w:val="28"/>
          <w:szCs w:val="28"/>
          <w:lang w:eastAsia="vi-VN"/>
        </w:rPr>
        <w:t xml:space="preserve">Xét đề nghị của Sở tài chính vật giá tại tờ trình số 160/TC-KHNS ngày 26/3/1996. </w:t>
      </w:r>
    </w:p>
    <w:p w:rsidR="002B7980" w:rsidRPr="002B7980" w:rsidRDefault="002B7980" w:rsidP="002B7980">
      <w:pPr>
        <w:spacing w:before="120" w:after="120"/>
        <w:rPr>
          <w:rFonts w:asciiTheme="majorHAnsi" w:eastAsia="Times New Roman" w:hAnsiTheme="majorHAnsi" w:cstheme="majorHAnsi"/>
          <w:b/>
          <w:bCs/>
          <w:sz w:val="28"/>
          <w:szCs w:val="28"/>
          <w:lang w:eastAsia="vi-VN"/>
        </w:rPr>
      </w:pPr>
      <w:r w:rsidRPr="002B7980">
        <w:rPr>
          <w:rFonts w:asciiTheme="majorHAnsi" w:eastAsia="Times New Roman" w:hAnsiTheme="majorHAnsi" w:cstheme="majorHAnsi"/>
          <w:b/>
          <w:bCs/>
          <w:sz w:val="28"/>
          <w:szCs w:val="28"/>
          <w:lang w:eastAsia="vi-VN"/>
        </w:rPr>
        <w:t> </w:t>
      </w:r>
    </w:p>
    <w:p w:rsidR="002B7980" w:rsidRPr="002B7980" w:rsidRDefault="002B7980" w:rsidP="002B7980">
      <w:pPr>
        <w:spacing w:before="120" w:after="120"/>
        <w:jc w:val="center"/>
        <w:rPr>
          <w:rFonts w:asciiTheme="majorHAnsi" w:eastAsia="Times New Roman" w:hAnsiTheme="majorHAnsi" w:cstheme="majorHAnsi"/>
          <w:b/>
          <w:bCs/>
          <w:sz w:val="28"/>
          <w:szCs w:val="28"/>
          <w:lang w:eastAsia="vi-VN"/>
        </w:rPr>
      </w:pPr>
      <w:r w:rsidRPr="002B7980">
        <w:rPr>
          <w:rFonts w:asciiTheme="majorHAnsi" w:eastAsia="Times New Roman" w:hAnsiTheme="majorHAnsi" w:cstheme="majorHAnsi"/>
          <w:b/>
          <w:bCs/>
          <w:sz w:val="28"/>
          <w:szCs w:val="28"/>
          <w:lang w:eastAsia="vi-VN"/>
        </w:rPr>
        <w:t>QUYẾT ĐỊNH:</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b/>
          <w:bCs/>
          <w:sz w:val="28"/>
          <w:szCs w:val="28"/>
          <w:lang w:eastAsia="vi-VN"/>
        </w:rPr>
        <w:t xml:space="preserve">Điều </w:t>
      </w:r>
      <w:bookmarkStart w:id="0" w:name="Dieu_1"/>
      <w:bookmarkEnd w:id="0"/>
      <w:r w:rsidRPr="002B7980">
        <w:rPr>
          <w:rFonts w:asciiTheme="majorHAnsi" w:eastAsia="Times New Roman" w:hAnsiTheme="majorHAnsi" w:cstheme="majorHAnsi"/>
          <w:b/>
          <w:bCs/>
          <w:sz w:val="28"/>
          <w:szCs w:val="28"/>
          <w:lang w:eastAsia="vi-VN"/>
        </w:rPr>
        <w:t xml:space="preserve">1: </w:t>
      </w:r>
      <w:r w:rsidRPr="002B7980">
        <w:rPr>
          <w:rFonts w:asciiTheme="majorHAnsi" w:eastAsia="Times New Roman" w:hAnsiTheme="majorHAnsi" w:cstheme="majorHAnsi"/>
          <w:sz w:val="28"/>
          <w:szCs w:val="28"/>
          <w:lang w:eastAsia="vi-VN"/>
        </w:rPr>
        <w:t xml:space="preserve">Nay quy định đối tượng thu và mức thu phí vệ sinh đô thị như sau: (Theo phụ lục kèm theo quyết định này). </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xml:space="preserve">- UBND các huyện, thành, thị có đơn vị làm công tác vệ sinh đô thị quy định cụ thể phạm vi, địa bàn phục vụ vệ sinh và phải thu phí. </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xml:space="preserve">- Đơn vị thu phí vệ sinh phải sử dụng biên lai do Bộ Tài chính phát hành để thu phí và số tiền phí thu nộp 100% vào ngân sách Nhà nước. </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xml:space="preserve">- Ngân sách cấp hỗ trợ trở lại (100% số tiền phí đã nộp vào ngân sách nhà nước) cho đơn vị làm công tác vệ sinh để sử dụng vào các nội dung: </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xml:space="preserve">+ 10 - 15%: Chi bồi dưỡng cho người trực tiếp thu. </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xml:space="preserve">+ 85 - 90%: Chi phí phục vụ công tác vệ sinh đô thị </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b/>
          <w:bCs/>
          <w:sz w:val="28"/>
          <w:szCs w:val="28"/>
          <w:lang w:eastAsia="vi-VN"/>
        </w:rPr>
        <w:t xml:space="preserve">Điều </w:t>
      </w:r>
      <w:bookmarkStart w:id="1" w:name="Dieu_2"/>
      <w:bookmarkEnd w:id="1"/>
      <w:r w:rsidRPr="002B7980">
        <w:rPr>
          <w:rFonts w:asciiTheme="majorHAnsi" w:eastAsia="Times New Roman" w:hAnsiTheme="majorHAnsi" w:cstheme="majorHAnsi"/>
          <w:b/>
          <w:bCs/>
          <w:sz w:val="28"/>
          <w:szCs w:val="28"/>
          <w:lang w:eastAsia="vi-VN"/>
        </w:rPr>
        <w:t>2:</w:t>
      </w:r>
      <w:r w:rsidRPr="002B7980">
        <w:rPr>
          <w:rFonts w:asciiTheme="majorHAnsi" w:eastAsia="Times New Roman" w:hAnsiTheme="majorHAnsi" w:cstheme="majorHAnsi"/>
          <w:sz w:val="28"/>
          <w:szCs w:val="28"/>
          <w:lang w:eastAsia="vi-VN"/>
        </w:rPr>
        <w:t xml:space="preserve"> Quyết định này có hiệu lực kể từ ngày 01/5/1996 thay thế quyết định số 676/QĐ-UBND ngày 13/4/1996 của UBND tỉnh. </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xml:space="preserve">Giao Sở tài chính vật giá hướng dẫn kiểm tra thực hiện quyết định này. </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b/>
          <w:bCs/>
          <w:sz w:val="28"/>
          <w:szCs w:val="28"/>
          <w:lang w:eastAsia="vi-VN"/>
        </w:rPr>
        <w:t xml:space="preserve">Điều </w:t>
      </w:r>
      <w:bookmarkStart w:id="2" w:name="Dieu_3"/>
      <w:bookmarkEnd w:id="2"/>
      <w:r w:rsidRPr="002B7980">
        <w:rPr>
          <w:rFonts w:asciiTheme="majorHAnsi" w:eastAsia="Times New Roman" w:hAnsiTheme="majorHAnsi" w:cstheme="majorHAnsi"/>
          <w:b/>
          <w:bCs/>
          <w:sz w:val="28"/>
          <w:szCs w:val="28"/>
          <w:lang w:eastAsia="vi-VN"/>
        </w:rPr>
        <w:t>3:</w:t>
      </w:r>
      <w:r w:rsidRPr="002B7980">
        <w:rPr>
          <w:rFonts w:asciiTheme="majorHAnsi" w:eastAsia="Times New Roman" w:hAnsiTheme="majorHAnsi" w:cstheme="majorHAnsi"/>
          <w:sz w:val="28"/>
          <w:szCs w:val="28"/>
          <w:lang w:eastAsia="vi-VN"/>
        </w:rPr>
        <w:t xml:space="preserve"> Các ông Chánh Văn phòng UBND tỉnh, Giám đốc Sở địa chính vật giá, Chủ tịch UBND huyện, thành, thị; Thủ trưởng các đơn vị làm công tác vệ sinh đô thị, Thủ trưởng các cơ quan đoàn thể và các cá nhân được phục vụ vệ sinh chịu trách nhiệm thi hành quyết định này. </w:t>
      </w:r>
    </w:p>
    <w:p w:rsidR="002B7980" w:rsidRPr="002B7980" w:rsidRDefault="002B7980" w:rsidP="002B7980">
      <w:pPr>
        <w:spacing w:before="120" w:after="120"/>
        <w:rPr>
          <w:rFonts w:asciiTheme="majorHAnsi" w:eastAsia="Times New Roman" w:hAnsiTheme="majorHAnsi" w:cstheme="majorHAnsi"/>
          <w:b/>
          <w:bCs/>
          <w:sz w:val="28"/>
          <w:szCs w:val="28"/>
          <w:lang w:eastAsia="vi-VN"/>
        </w:rPr>
      </w:pPr>
      <w:r w:rsidRPr="002B7980">
        <w:rPr>
          <w:rFonts w:asciiTheme="majorHAnsi" w:eastAsia="Times New Roman" w:hAnsiTheme="majorHAnsi" w:cstheme="majorHAnsi"/>
          <w:b/>
          <w:bCs/>
          <w:sz w:val="28"/>
          <w:szCs w:val="28"/>
          <w:lang w:eastAsia="vi-VN"/>
        </w:rPr>
        <w:lastRenderedPageBreak/>
        <w:t> </w:t>
      </w:r>
    </w:p>
    <w:p w:rsidR="002B7980" w:rsidRPr="002B7980" w:rsidRDefault="002B7980" w:rsidP="002B7980">
      <w:pPr>
        <w:spacing w:before="120" w:after="120"/>
        <w:rPr>
          <w:rFonts w:asciiTheme="majorHAnsi" w:eastAsia="Times New Roman" w:hAnsiTheme="majorHAnsi" w:cstheme="majorHAnsi"/>
          <w:b/>
          <w:bCs/>
          <w:sz w:val="28"/>
          <w:szCs w:val="28"/>
          <w:lang w:eastAsia="vi-VN"/>
        </w:rPr>
      </w:pPr>
      <w:r w:rsidRPr="002B7980">
        <w:rPr>
          <w:rFonts w:asciiTheme="majorHAnsi" w:eastAsia="Times New Roman" w:hAnsiTheme="majorHAnsi" w:cstheme="majorHAnsi"/>
          <w:b/>
          <w:bCs/>
          <w:sz w:val="28"/>
          <w:szCs w:val="28"/>
          <w:lang w:eastAsia="vi-VN"/>
        </w:rPr>
        <w:t>PHỤ LỤC ĐỐI TƯỢNG THU PHÍ VÀ MỨC THU PHÍ BAN HÀNH</w:t>
      </w:r>
    </w:p>
    <w:p w:rsidR="002B7980" w:rsidRPr="002B7980" w:rsidRDefault="002B7980" w:rsidP="002B7980">
      <w:pPr>
        <w:spacing w:before="120" w:after="120"/>
        <w:rPr>
          <w:rFonts w:asciiTheme="majorHAnsi" w:eastAsia="Times New Roman" w:hAnsiTheme="majorHAnsi" w:cstheme="majorHAnsi"/>
          <w:b/>
          <w:bCs/>
          <w:i/>
          <w:iCs/>
          <w:sz w:val="28"/>
          <w:szCs w:val="28"/>
          <w:lang w:eastAsia="vi-VN"/>
        </w:rPr>
      </w:pPr>
      <w:r w:rsidRPr="002B7980">
        <w:rPr>
          <w:rFonts w:asciiTheme="majorHAnsi" w:eastAsia="Times New Roman" w:hAnsiTheme="majorHAnsi" w:cstheme="majorHAnsi"/>
          <w:b/>
          <w:bCs/>
          <w:i/>
          <w:iCs/>
          <w:sz w:val="28"/>
          <w:szCs w:val="28"/>
          <w:lang w:eastAsia="vi-VN"/>
        </w:rPr>
        <w:t>Kèm theo Quyết định số: 1018/QĐ-UB ngày 30/5/1996 của UBND tỉnh Vĩnh Phú</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i/>
          <w:iCs/>
          <w:sz w:val="28"/>
          <w:szCs w:val="28"/>
          <w:lang w:eastAsia="vi-VN"/>
        </w:rPr>
        <w:t>Đơn vị tính: đồng/người/tháng</w:t>
      </w:r>
    </w:p>
    <w:tbl>
      <w:tblPr>
        <w:tblW w:w="8640" w:type="dxa"/>
        <w:jc w:val="center"/>
        <w:tblCellSpacing w:w="7" w:type="dxa"/>
        <w:tblInd w:w="15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tblPr>
      <w:tblGrid>
        <w:gridCol w:w="708"/>
        <w:gridCol w:w="6366"/>
        <w:gridCol w:w="1566"/>
      </w:tblGrid>
      <w:tr w:rsidR="002B7980" w:rsidRPr="002B7980" w:rsidTr="002B7980">
        <w:trPr>
          <w:tblCellSpacing w:w="7" w:type="dxa"/>
          <w:jc w:val="center"/>
        </w:trPr>
        <w:tc>
          <w:tcPr>
            <w:tcW w:w="4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b/>
                <w:bCs/>
                <w:sz w:val="28"/>
                <w:szCs w:val="28"/>
                <w:lang w:eastAsia="vi-VN"/>
              </w:rPr>
              <w:t>STT</w:t>
            </w:r>
          </w:p>
        </w:tc>
        <w:tc>
          <w:tcPr>
            <w:tcW w:w="37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b/>
                <w:bCs/>
                <w:sz w:val="28"/>
                <w:szCs w:val="28"/>
                <w:lang w:eastAsia="vi-VN"/>
              </w:rPr>
              <w:t>Đối tượng</w:t>
            </w:r>
          </w:p>
        </w:tc>
        <w:tc>
          <w:tcPr>
            <w:tcW w:w="9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b/>
                <w:bCs/>
                <w:sz w:val="28"/>
                <w:szCs w:val="28"/>
                <w:lang w:eastAsia="vi-VN"/>
              </w:rPr>
              <w:t>Mức thu</w:t>
            </w:r>
          </w:p>
        </w:tc>
      </w:tr>
      <w:tr w:rsidR="002B7980" w:rsidRPr="002B7980" w:rsidTr="002B7980">
        <w:trPr>
          <w:tblCellSpacing w:w="7" w:type="dxa"/>
          <w:jc w:val="center"/>
        </w:trPr>
        <w:tc>
          <w:tcPr>
            <w:tcW w:w="4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1</w:t>
            </w:r>
          </w:p>
        </w:tc>
        <w:tc>
          <w:tcPr>
            <w:tcW w:w="37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cửa hiệu, quầy dịch vụ kinh doanh ăn uống, giải khát</w:t>
            </w:r>
          </w:p>
        </w:tc>
        <w:tc>
          <w:tcPr>
            <w:tcW w:w="9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5.000</w:t>
            </w:r>
          </w:p>
        </w:tc>
      </w:tr>
      <w:tr w:rsidR="002B7980" w:rsidRPr="002B7980" w:rsidTr="002B7980">
        <w:trPr>
          <w:tblCellSpacing w:w="7" w:type="dxa"/>
          <w:jc w:val="center"/>
        </w:trPr>
        <w:tc>
          <w:tcPr>
            <w:tcW w:w="4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2</w:t>
            </w:r>
          </w:p>
        </w:tc>
        <w:tc>
          <w:tcPr>
            <w:tcW w:w="37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cửa hiệu sửa chữa ô tô, sửa xe máy, kinh doanh chất đốt, kinh doanh ô tô.</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cửa hiệu, quầy kinh doanh hoa quả tươi</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Các khách sạn, nhà nghỉ.</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cửa hiệu, quầy dịch vụ kinh doanh sản xuất vât liệu xây dựng, trang trí nội ngoại thất.</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cửa hiệu sửa chữa gia công hàng dân dụng</w:t>
            </w:r>
          </w:p>
        </w:tc>
        <w:tc>
          <w:tcPr>
            <w:tcW w:w="9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3.000</w:t>
            </w:r>
          </w:p>
        </w:tc>
      </w:tr>
      <w:tr w:rsidR="002B7980" w:rsidRPr="002B7980" w:rsidTr="002B7980">
        <w:trPr>
          <w:tblCellSpacing w:w="7" w:type="dxa"/>
          <w:jc w:val="center"/>
        </w:trPr>
        <w:tc>
          <w:tcPr>
            <w:tcW w:w="4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3</w:t>
            </w:r>
          </w:p>
        </w:tc>
        <w:tc>
          <w:tcPr>
            <w:tcW w:w="37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Cửa hàng, hiệu quầy dịch vụ kinh doanh lương thực, thực phẩm</w:t>
            </w:r>
          </w:p>
        </w:tc>
        <w:tc>
          <w:tcPr>
            <w:tcW w:w="9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2.500</w:t>
            </w:r>
          </w:p>
        </w:tc>
      </w:tr>
      <w:tr w:rsidR="002B7980" w:rsidRPr="002B7980" w:rsidTr="002B7980">
        <w:trPr>
          <w:tblCellSpacing w:w="7" w:type="dxa"/>
          <w:jc w:val="center"/>
        </w:trPr>
        <w:tc>
          <w:tcPr>
            <w:tcW w:w="4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4</w:t>
            </w:r>
          </w:p>
        </w:tc>
        <w:tc>
          <w:tcPr>
            <w:tcW w:w="37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quầy bán xăng dầu tư nhân, tập thể</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hiệu may đo, kinh doanh xe máy</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cửa hiệu quầy dịch vụ sổ xố, cắt tóc, chụp ảnh, truyền thần, photocopy, trang trí mỹ thuật.</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Cơ sở hành nghề dịch vụ y tế tư nhân.</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cửa hiệu, lều quán kinh doanh khác.</w:t>
            </w:r>
          </w:p>
        </w:tc>
        <w:tc>
          <w:tcPr>
            <w:tcW w:w="9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2.000</w:t>
            </w:r>
          </w:p>
        </w:tc>
      </w:tr>
      <w:tr w:rsidR="002B7980" w:rsidRPr="002B7980" w:rsidTr="002B7980">
        <w:trPr>
          <w:tblCellSpacing w:w="7" w:type="dxa"/>
          <w:jc w:val="center"/>
        </w:trPr>
        <w:tc>
          <w:tcPr>
            <w:tcW w:w="4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5</w:t>
            </w:r>
          </w:p>
        </w:tc>
        <w:tc>
          <w:tcPr>
            <w:tcW w:w="37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cửa hiệu:</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Sửa chữa, kinh doanh xe đạp.</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Kinh doanh dược phẩm, thuốc thú y</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Kinh doanh dịch vụ cây trồng.</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Kinh doanh sửa chữa hàng điện tử, điện dân dụng, điện máy, văn hoá phẩm.</w:t>
            </w:r>
          </w:p>
        </w:tc>
        <w:tc>
          <w:tcPr>
            <w:tcW w:w="9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1.500</w:t>
            </w:r>
          </w:p>
        </w:tc>
      </w:tr>
      <w:tr w:rsidR="002B7980" w:rsidRPr="002B7980" w:rsidTr="002B7980">
        <w:trPr>
          <w:tblCellSpacing w:w="7" w:type="dxa"/>
          <w:jc w:val="center"/>
        </w:trPr>
        <w:tc>
          <w:tcPr>
            <w:tcW w:w="4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6</w:t>
            </w:r>
          </w:p>
        </w:tc>
        <w:tc>
          <w:tcPr>
            <w:tcW w:w="37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Cửa hàng, cửa hiệu kinh doanh vàng bạc, đá quý.</w:t>
            </w:r>
          </w:p>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Các Công ty, Xí nghiệp các hộ gia đình ở trục đường và khu tập thể</w:t>
            </w:r>
          </w:p>
        </w:tc>
        <w:tc>
          <w:tcPr>
            <w:tcW w:w="9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1.000</w:t>
            </w:r>
          </w:p>
        </w:tc>
      </w:tr>
      <w:tr w:rsidR="002B7980" w:rsidRPr="002B7980" w:rsidTr="002B7980">
        <w:trPr>
          <w:tblCellSpacing w:w="7" w:type="dxa"/>
          <w:jc w:val="center"/>
        </w:trPr>
        <w:tc>
          <w:tcPr>
            <w:tcW w:w="4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7</w:t>
            </w:r>
          </w:p>
        </w:tc>
        <w:tc>
          <w:tcPr>
            <w:tcW w:w="37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Các cơ quan hành chính sự nghiệp và đoàn thể.</w:t>
            </w:r>
          </w:p>
        </w:tc>
        <w:tc>
          <w:tcPr>
            <w:tcW w:w="900" w:type="pct"/>
            <w:hideMark/>
          </w:tcPr>
          <w:p w:rsidR="002B7980" w:rsidRPr="002B7980" w:rsidRDefault="002B7980" w:rsidP="002B7980">
            <w:pPr>
              <w:ind w:firstLine="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500</w:t>
            </w:r>
          </w:p>
        </w:tc>
      </w:tr>
    </w:tbl>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xml:space="preserve">Ghi chú: Đối với các hộ gia đình nếu trong gia đình có người làm nghề thì người làm nghề phải nộp phí theo tính chất hoạt động ngành nghề. </w:t>
      </w:r>
    </w:p>
    <w:p w:rsidR="002B7980" w:rsidRPr="002B7980" w:rsidRDefault="002B7980" w:rsidP="002B7980">
      <w:pPr>
        <w:spacing w:before="120" w:after="120"/>
        <w:rPr>
          <w:rFonts w:asciiTheme="majorHAnsi" w:eastAsia="Times New Roman" w:hAnsiTheme="majorHAnsi" w:cstheme="majorHAnsi"/>
          <w:sz w:val="28"/>
          <w:szCs w:val="28"/>
          <w:lang w:eastAsia="vi-VN"/>
        </w:rPr>
      </w:pPr>
      <w:r w:rsidRPr="002B7980">
        <w:rPr>
          <w:rFonts w:asciiTheme="majorHAnsi" w:eastAsia="Times New Roman" w:hAnsiTheme="majorHAnsi" w:cstheme="majorHAnsi"/>
          <w:sz w:val="28"/>
          <w:szCs w:val="28"/>
          <w:lang w:eastAsia="vi-VN"/>
        </w:rPr>
        <w:t>- Các chợ quy định làm một hộ, đơn vị thu phí ký hợp đồng với Ban quản lý chợ để thu./.</w:t>
      </w:r>
    </w:p>
    <w:tbl>
      <w:tblPr>
        <w:tblStyle w:val="TableGrid"/>
        <w:tblW w:w="98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836"/>
        <w:gridCol w:w="6054"/>
      </w:tblGrid>
      <w:tr w:rsidR="002B7980" w:rsidRPr="002B7980" w:rsidTr="005931D1">
        <w:trPr>
          <w:trHeight w:val="1505"/>
        </w:trPr>
        <w:tc>
          <w:tcPr>
            <w:tcW w:w="3836" w:type="dxa"/>
          </w:tcPr>
          <w:p w:rsidR="002B7980" w:rsidRPr="002B7980" w:rsidRDefault="002B7980" w:rsidP="002B7980">
            <w:pPr>
              <w:spacing w:before="120" w:after="120" w:line="320" w:lineRule="exact"/>
              <w:rPr>
                <w:rFonts w:asciiTheme="majorHAnsi" w:eastAsia="Times New Roman" w:hAnsiTheme="majorHAnsi" w:cstheme="majorHAnsi"/>
                <w:b/>
                <w:sz w:val="28"/>
                <w:szCs w:val="28"/>
                <w:lang w:eastAsia="vi-VN"/>
              </w:rPr>
            </w:pPr>
          </w:p>
        </w:tc>
        <w:tc>
          <w:tcPr>
            <w:tcW w:w="6054" w:type="dxa"/>
          </w:tcPr>
          <w:p w:rsidR="002B7980" w:rsidRPr="002B7980" w:rsidRDefault="002B7980" w:rsidP="002B7980">
            <w:pPr>
              <w:spacing w:before="120" w:after="120" w:line="320" w:lineRule="exact"/>
              <w:jc w:val="center"/>
              <w:rPr>
                <w:rFonts w:asciiTheme="majorHAnsi" w:eastAsia="Times New Roman" w:hAnsiTheme="majorHAnsi" w:cstheme="majorHAnsi"/>
                <w:b/>
                <w:i/>
                <w:iCs/>
                <w:sz w:val="28"/>
                <w:szCs w:val="28"/>
                <w:lang w:val="en-US" w:eastAsia="vi-VN"/>
              </w:rPr>
            </w:pPr>
            <w:r w:rsidRPr="002B7980">
              <w:rPr>
                <w:rFonts w:asciiTheme="majorHAnsi" w:hAnsiTheme="majorHAnsi" w:cstheme="majorHAnsi"/>
                <w:b/>
                <w:sz w:val="28"/>
                <w:szCs w:val="28"/>
                <w:lang w:val="en-US"/>
              </w:rPr>
              <w:t>PHÓ CHỦ TỊCH</w:t>
            </w:r>
          </w:p>
          <w:p w:rsidR="002B7980" w:rsidRPr="002B7980" w:rsidRDefault="002B7980" w:rsidP="002B7980">
            <w:pPr>
              <w:spacing w:before="120" w:after="120" w:line="320" w:lineRule="exact"/>
              <w:jc w:val="center"/>
              <w:rPr>
                <w:rFonts w:asciiTheme="majorHAnsi" w:eastAsia="Times New Roman" w:hAnsiTheme="majorHAnsi" w:cstheme="majorHAnsi"/>
                <w:b/>
                <w:i/>
                <w:iCs/>
                <w:sz w:val="28"/>
                <w:szCs w:val="28"/>
                <w:lang w:eastAsia="vi-VN"/>
              </w:rPr>
            </w:pPr>
            <w:r w:rsidRPr="002B7980">
              <w:rPr>
                <w:rFonts w:asciiTheme="majorHAnsi" w:eastAsia="Times New Roman" w:hAnsiTheme="majorHAnsi" w:cstheme="majorHAnsi"/>
                <w:b/>
                <w:i/>
                <w:iCs/>
                <w:sz w:val="28"/>
                <w:szCs w:val="28"/>
                <w:lang w:eastAsia="vi-VN"/>
              </w:rPr>
              <w:t>(Đã ký)</w:t>
            </w:r>
          </w:p>
          <w:p w:rsidR="002B7980" w:rsidRPr="002B7980" w:rsidRDefault="002B7980" w:rsidP="002B7980">
            <w:pPr>
              <w:spacing w:before="120" w:after="120" w:line="320" w:lineRule="exact"/>
              <w:jc w:val="center"/>
              <w:rPr>
                <w:rFonts w:asciiTheme="majorHAnsi" w:eastAsia="Times New Roman" w:hAnsiTheme="majorHAnsi" w:cstheme="majorHAnsi"/>
                <w:b/>
                <w:i/>
                <w:iCs/>
                <w:sz w:val="28"/>
                <w:szCs w:val="28"/>
                <w:lang w:eastAsia="vi-VN"/>
              </w:rPr>
            </w:pPr>
          </w:p>
          <w:p w:rsidR="002B7980" w:rsidRPr="002B7980" w:rsidRDefault="002B7980" w:rsidP="002B7980">
            <w:pPr>
              <w:spacing w:before="120" w:after="120" w:line="320" w:lineRule="exact"/>
              <w:jc w:val="center"/>
              <w:rPr>
                <w:rFonts w:asciiTheme="majorHAnsi" w:eastAsia="Times New Roman" w:hAnsiTheme="majorHAnsi" w:cstheme="majorHAnsi"/>
                <w:b/>
                <w:i/>
                <w:iCs/>
                <w:sz w:val="28"/>
                <w:szCs w:val="28"/>
                <w:lang w:eastAsia="vi-VN"/>
              </w:rPr>
            </w:pPr>
          </w:p>
          <w:p w:rsidR="002B7980" w:rsidRPr="002B7980" w:rsidRDefault="002B7980" w:rsidP="002B7980">
            <w:pPr>
              <w:spacing w:before="120" w:after="120" w:line="320" w:lineRule="exact"/>
              <w:jc w:val="center"/>
              <w:rPr>
                <w:rFonts w:asciiTheme="majorHAnsi" w:eastAsia="Times New Roman" w:hAnsiTheme="majorHAnsi" w:cstheme="majorHAnsi"/>
                <w:b/>
                <w:sz w:val="28"/>
                <w:szCs w:val="28"/>
                <w:lang w:eastAsia="vi-VN"/>
              </w:rPr>
            </w:pPr>
            <w:r w:rsidRPr="002B7980">
              <w:rPr>
                <w:rFonts w:asciiTheme="majorHAnsi" w:hAnsiTheme="majorHAnsi" w:cstheme="majorHAnsi"/>
                <w:b/>
                <w:sz w:val="28"/>
                <w:szCs w:val="28"/>
              </w:rPr>
              <w:t>Trần Nho</w:t>
            </w:r>
          </w:p>
        </w:tc>
      </w:tr>
    </w:tbl>
    <w:p w:rsidR="00BE1EA4" w:rsidRPr="002B7980" w:rsidRDefault="00BE1EA4" w:rsidP="002B7980">
      <w:pPr>
        <w:spacing w:before="120" w:after="120"/>
        <w:rPr>
          <w:rFonts w:asciiTheme="majorHAnsi" w:hAnsiTheme="majorHAnsi" w:cstheme="majorHAnsi"/>
          <w:sz w:val="28"/>
          <w:szCs w:val="28"/>
        </w:rPr>
      </w:pPr>
    </w:p>
    <w:sectPr w:rsidR="00BE1EA4" w:rsidRPr="002B7980" w:rsidSect="00BF7D47">
      <w:pgSz w:w="11906" w:h="16838" w:code="9"/>
      <w:pgMar w:top="1134" w:right="1134"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Arial">
    <w:panose1 w:val="020B0604020202020204"/>
    <w:charset w:val="A3"/>
    <w:family w:val="swiss"/>
    <w:pitch w:val="variable"/>
    <w:sig w:usb0="E0002AFF" w:usb1="C0007843"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displayVerticalDrawingGridEvery w:val="2"/>
  <w:characterSpacingControl w:val="doNotCompress"/>
  <w:compat/>
  <w:rsids>
    <w:rsidRoot w:val="002B7980"/>
    <w:rsid w:val="002B7980"/>
    <w:rsid w:val="00A33F3C"/>
    <w:rsid w:val="00A60577"/>
    <w:rsid w:val="00BE1EA4"/>
    <w:rsid w:val="00BF7D47"/>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_x0000_s1027"/>
        <o:r id="V:Rule2" type="connector" idref="#_x0000_s102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vi-VN" w:eastAsia="en-US" w:bidi="ar-SA"/>
      </w:rPr>
    </w:rPrDefault>
    <w:pPrDefault>
      <w:pPr>
        <w:spacing w:line="320" w:lineRule="exact"/>
        <w:ind w:firstLine="56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1EA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2B7980"/>
    <w:pPr>
      <w:spacing w:before="100" w:beforeAutospacing="1" w:after="100" w:afterAutospacing="1" w:line="240" w:lineRule="auto"/>
      <w:ind w:firstLine="0"/>
      <w:jc w:val="left"/>
    </w:pPr>
    <w:rPr>
      <w:rFonts w:eastAsia="Times New Roman" w:cs="Times New Roman"/>
      <w:sz w:val="24"/>
      <w:szCs w:val="24"/>
      <w:lang w:eastAsia="vi-VN"/>
    </w:rPr>
  </w:style>
  <w:style w:type="table" w:styleId="TableGrid">
    <w:name w:val="Table Grid"/>
    <w:basedOn w:val="TableNormal"/>
    <w:uiPriority w:val="59"/>
    <w:rsid w:val="002B7980"/>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440733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F1454DE-0038-435C-9AD7-992384E13A0C}"/>
</file>

<file path=customXml/itemProps2.xml><?xml version="1.0" encoding="utf-8"?>
<ds:datastoreItem xmlns:ds="http://schemas.openxmlformats.org/officeDocument/2006/customXml" ds:itemID="{FBD1784F-C8E7-49E0-A148-715F1CDAAD5E}"/>
</file>

<file path=customXml/itemProps3.xml><?xml version="1.0" encoding="utf-8"?>
<ds:datastoreItem xmlns:ds="http://schemas.openxmlformats.org/officeDocument/2006/customXml" ds:itemID="{D722DFF1-C40E-44B1-B6D3-C2FEFDBE6920}"/>
</file>

<file path=docProps/app.xml><?xml version="1.0" encoding="utf-8"?>
<Properties xmlns="http://schemas.openxmlformats.org/officeDocument/2006/extended-properties" xmlns:vt="http://schemas.openxmlformats.org/officeDocument/2006/docPropsVTypes">
  <Template>Normal</Template>
  <TotalTime>4</TotalTime>
  <Pages>3</Pages>
  <Words>511</Words>
  <Characters>2916</Characters>
  <Application>Microsoft Office Word</Application>
  <DocSecurity>0</DocSecurity>
  <Lines>24</Lines>
  <Paragraphs>6</Paragraphs>
  <ScaleCrop>false</ScaleCrop>
  <Company/>
  <LinksUpToDate>false</LinksUpToDate>
  <CharactersWithSpaces>3421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SOHOA-FSI1</dc:creator>
  <cp:lastModifiedBy>SOHOA-FSI1</cp:lastModifiedBy>
  <cp:revision>1</cp:revision>
  <dcterms:created xsi:type="dcterms:W3CDTF">2014-12-07T09:27:00Z</dcterms:created>
  <dcterms:modified xsi:type="dcterms:W3CDTF">2014-12-07T09:31:00Z</dcterms:modified>
</cp:coreProperties>
</file>