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pPr w:leftFromText="180" w:rightFromText="180" w:vertAnchor="text" w:horzAnchor="margin" w:tblpY="-52"/>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652"/>
        <w:gridCol w:w="6237"/>
      </w:tblGrid>
      <w:tr w:rsidR="000473E3" w:rsidRPr="000473E3" w:rsidTr="005931D1">
        <w:trPr>
          <w:trHeight w:val="1519"/>
        </w:trPr>
        <w:tc>
          <w:tcPr>
            <w:tcW w:w="3652" w:type="dxa"/>
          </w:tcPr>
          <w:p w:rsidR="000473E3" w:rsidRPr="000473E3" w:rsidRDefault="000473E3" w:rsidP="000473E3">
            <w:pPr>
              <w:ind w:firstLine="0"/>
              <w:jc w:val="center"/>
              <w:rPr>
                <w:rFonts w:asciiTheme="majorHAnsi" w:eastAsia="Times New Roman" w:hAnsiTheme="majorHAnsi" w:cstheme="majorHAnsi"/>
                <w:b/>
                <w:bCs/>
                <w:sz w:val="26"/>
                <w:szCs w:val="26"/>
                <w:lang w:val="en-US" w:eastAsia="vi-VN"/>
              </w:rPr>
            </w:pPr>
            <w:r w:rsidRPr="000473E3">
              <w:rPr>
                <w:rFonts w:asciiTheme="majorHAnsi" w:eastAsia="Times New Roman" w:hAnsiTheme="majorHAnsi" w:cstheme="majorHAnsi"/>
                <w:b/>
                <w:bCs/>
                <w:sz w:val="26"/>
                <w:szCs w:val="26"/>
                <w:lang w:val="en-US" w:eastAsia="vi-VN"/>
              </w:rPr>
              <w:t>UBND TỈNH VĨNH PHÚ</w:t>
            </w:r>
          </w:p>
          <w:p w:rsidR="000473E3" w:rsidRPr="000473E3" w:rsidRDefault="000473E3" w:rsidP="000473E3">
            <w:pPr>
              <w:ind w:firstLine="0"/>
              <w:jc w:val="center"/>
              <w:rPr>
                <w:rFonts w:asciiTheme="majorHAnsi" w:eastAsia="Times New Roman" w:hAnsiTheme="majorHAnsi" w:cstheme="majorHAnsi"/>
                <w:sz w:val="26"/>
                <w:szCs w:val="26"/>
                <w:lang w:val="en-US" w:eastAsia="vi-VN"/>
              </w:rPr>
            </w:pPr>
            <w:r w:rsidRPr="000473E3">
              <w:rPr>
                <w:rFonts w:asciiTheme="majorHAnsi" w:eastAsia="Times New Roman" w:hAnsiTheme="majorHAnsi" w:cstheme="majorHAnsi"/>
                <w:b/>
                <w:bCs/>
                <w:noProof/>
                <w:sz w:val="26"/>
                <w:szCs w:val="26"/>
                <w:lang w:eastAsia="vi-VN"/>
              </w:rPr>
              <w:pict>
                <v:shapetype id="_x0000_t32" coordsize="21600,21600" o:spt="32" o:oned="t" path="m,l21600,21600e" filled="f">
                  <v:path arrowok="t" fillok="f" o:connecttype="none"/>
                  <o:lock v:ext="edit" shapetype="t"/>
                </v:shapetype>
                <v:shape id="_x0000_s1026" type="#_x0000_t32" style="position:absolute;left:0;text-align:left;margin-left:46.2pt;margin-top:-.35pt;width:71.25pt;height:0;z-index:251660288" o:connectortype="straight"/>
              </w:pict>
            </w:r>
          </w:p>
          <w:p w:rsidR="000473E3" w:rsidRPr="000473E3" w:rsidRDefault="000473E3" w:rsidP="000473E3">
            <w:pPr>
              <w:ind w:firstLine="0"/>
              <w:jc w:val="center"/>
              <w:rPr>
                <w:rFonts w:asciiTheme="majorHAnsi" w:eastAsia="Times New Roman" w:hAnsiTheme="majorHAnsi" w:cstheme="majorHAnsi"/>
                <w:sz w:val="26"/>
                <w:szCs w:val="26"/>
                <w:lang w:val="en-US" w:eastAsia="vi-VN"/>
              </w:rPr>
            </w:pPr>
            <w:r w:rsidRPr="000473E3">
              <w:rPr>
                <w:rFonts w:asciiTheme="majorHAnsi" w:eastAsia="Times New Roman" w:hAnsiTheme="majorHAnsi" w:cstheme="majorHAnsi"/>
                <w:sz w:val="26"/>
                <w:szCs w:val="26"/>
                <w:lang w:eastAsia="vi-VN"/>
              </w:rPr>
              <w:t xml:space="preserve">Số: </w:t>
            </w:r>
            <w:r w:rsidRPr="000473E3">
              <w:rPr>
                <w:b/>
                <w:bCs/>
                <w:sz w:val="26"/>
                <w:szCs w:val="26"/>
              </w:rPr>
              <w:t>20/CT</w:t>
            </w:r>
          </w:p>
        </w:tc>
        <w:tc>
          <w:tcPr>
            <w:tcW w:w="6237" w:type="dxa"/>
          </w:tcPr>
          <w:p w:rsidR="000473E3" w:rsidRPr="000473E3" w:rsidRDefault="000473E3" w:rsidP="000473E3">
            <w:pPr>
              <w:ind w:firstLine="0"/>
              <w:jc w:val="center"/>
              <w:rPr>
                <w:rFonts w:asciiTheme="majorHAnsi" w:eastAsia="Times New Roman" w:hAnsiTheme="majorHAnsi" w:cstheme="majorHAnsi"/>
                <w:sz w:val="26"/>
                <w:szCs w:val="26"/>
                <w:lang w:eastAsia="vi-VN"/>
              </w:rPr>
            </w:pPr>
            <w:r w:rsidRPr="000473E3">
              <w:rPr>
                <w:rFonts w:asciiTheme="majorHAnsi" w:eastAsia="Times New Roman" w:hAnsiTheme="majorHAnsi" w:cstheme="majorHAnsi"/>
                <w:b/>
                <w:bCs/>
                <w:sz w:val="26"/>
                <w:szCs w:val="26"/>
                <w:lang w:eastAsia="vi-VN"/>
              </w:rPr>
              <w:t>CỘNG HOÀ XÃ HỘI CHỦ NGHĨA VIỆT NAM</w:t>
            </w:r>
          </w:p>
          <w:p w:rsidR="000473E3" w:rsidRPr="000473E3" w:rsidRDefault="000473E3" w:rsidP="000473E3">
            <w:pPr>
              <w:ind w:firstLine="0"/>
              <w:jc w:val="center"/>
              <w:rPr>
                <w:rFonts w:asciiTheme="majorHAnsi" w:eastAsia="Times New Roman" w:hAnsiTheme="majorHAnsi" w:cstheme="majorHAnsi"/>
                <w:b/>
                <w:bCs/>
                <w:sz w:val="26"/>
                <w:szCs w:val="26"/>
                <w:lang w:val="en-US" w:eastAsia="vi-VN"/>
              </w:rPr>
            </w:pPr>
            <w:r w:rsidRPr="000473E3">
              <w:rPr>
                <w:rFonts w:asciiTheme="majorHAnsi" w:eastAsia="Times New Roman" w:hAnsiTheme="majorHAnsi" w:cstheme="majorHAnsi"/>
                <w:b/>
                <w:bCs/>
                <w:sz w:val="26"/>
                <w:szCs w:val="26"/>
                <w:lang w:eastAsia="vi-VN"/>
              </w:rPr>
              <w:t>Độc lập - Tự do - Hạnh phúc</w:t>
            </w:r>
          </w:p>
          <w:p w:rsidR="000473E3" w:rsidRPr="000473E3" w:rsidRDefault="000473E3" w:rsidP="000473E3">
            <w:pPr>
              <w:ind w:firstLine="0"/>
              <w:jc w:val="center"/>
              <w:rPr>
                <w:rFonts w:asciiTheme="majorHAnsi" w:eastAsia="Times New Roman" w:hAnsiTheme="majorHAnsi" w:cstheme="majorHAnsi"/>
                <w:sz w:val="26"/>
                <w:szCs w:val="26"/>
                <w:lang w:val="en-US" w:eastAsia="vi-VN"/>
              </w:rPr>
            </w:pPr>
            <w:r w:rsidRPr="000473E3">
              <w:rPr>
                <w:rFonts w:asciiTheme="majorHAnsi" w:eastAsia="Times New Roman" w:hAnsiTheme="majorHAnsi" w:cstheme="majorHAnsi"/>
                <w:noProof/>
                <w:sz w:val="26"/>
                <w:szCs w:val="26"/>
                <w:lang w:eastAsia="vi-VN"/>
              </w:rPr>
              <w:pict>
                <v:shape id="_x0000_s1027" type="#_x0000_t32" style="position:absolute;left:0;text-align:left;margin-left:82.05pt;margin-top:3pt;width:163.5pt;height:0;z-index:251661312" o:connectortype="straight"/>
              </w:pict>
            </w:r>
          </w:p>
          <w:p w:rsidR="000473E3" w:rsidRPr="000473E3" w:rsidRDefault="000473E3" w:rsidP="000473E3">
            <w:pPr>
              <w:ind w:firstLine="0"/>
              <w:jc w:val="center"/>
              <w:rPr>
                <w:rFonts w:asciiTheme="majorHAnsi" w:eastAsia="Times New Roman" w:hAnsiTheme="majorHAnsi" w:cstheme="majorHAnsi"/>
                <w:b/>
                <w:bCs/>
                <w:sz w:val="26"/>
                <w:szCs w:val="26"/>
                <w:lang w:eastAsia="vi-VN"/>
              </w:rPr>
            </w:pPr>
            <w:r w:rsidRPr="000473E3">
              <w:rPr>
                <w:i/>
                <w:iCs/>
                <w:sz w:val="26"/>
                <w:szCs w:val="26"/>
              </w:rPr>
              <w:t>Hà Nội, ngày 24 tháng 10 năm 1994</w:t>
            </w:r>
          </w:p>
        </w:tc>
      </w:tr>
    </w:tbl>
    <w:p w:rsidR="000473E3" w:rsidRPr="000473E3" w:rsidRDefault="000473E3" w:rsidP="000473E3">
      <w:pPr>
        <w:pStyle w:val="NormalWeb"/>
        <w:spacing w:before="120" w:beforeAutospacing="0" w:after="120" w:afterAutospacing="0" w:line="320" w:lineRule="exact"/>
        <w:ind w:firstLine="567"/>
        <w:jc w:val="center"/>
        <w:rPr>
          <w:b/>
          <w:bCs/>
          <w:sz w:val="28"/>
          <w:szCs w:val="28"/>
        </w:rPr>
      </w:pPr>
    </w:p>
    <w:p w:rsidR="000473E3" w:rsidRPr="000473E3" w:rsidRDefault="000473E3" w:rsidP="000473E3">
      <w:pPr>
        <w:pStyle w:val="NormalWeb"/>
        <w:spacing w:before="120" w:beforeAutospacing="0" w:after="120" w:afterAutospacing="0" w:line="320" w:lineRule="exact"/>
        <w:ind w:firstLine="567"/>
        <w:jc w:val="center"/>
        <w:rPr>
          <w:b/>
          <w:bCs/>
          <w:sz w:val="28"/>
          <w:szCs w:val="28"/>
        </w:rPr>
      </w:pPr>
      <w:r w:rsidRPr="000473E3">
        <w:rPr>
          <w:b/>
          <w:bCs/>
          <w:sz w:val="28"/>
          <w:szCs w:val="28"/>
        </w:rPr>
        <w:t>CHỈ THỊ CỦA UBND TỈNH VĨNH PHÚ</w:t>
      </w:r>
    </w:p>
    <w:p w:rsidR="000473E3" w:rsidRPr="000473E3" w:rsidRDefault="000473E3" w:rsidP="000473E3">
      <w:pPr>
        <w:pStyle w:val="NormalWeb"/>
        <w:spacing w:before="120" w:beforeAutospacing="0" w:after="120" w:afterAutospacing="0" w:line="320" w:lineRule="exact"/>
        <w:ind w:firstLine="567"/>
        <w:jc w:val="center"/>
        <w:rPr>
          <w:b/>
          <w:bCs/>
          <w:i/>
          <w:iCs/>
          <w:sz w:val="28"/>
          <w:szCs w:val="28"/>
        </w:rPr>
      </w:pPr>
      <w:r w:rsidRPr="000473E3">
        <w:rPr>
          <w:b/>
          <w:bCs/>
          <w:i/>
          <w:iCs/>
          <w:sz w:val="28"/>
          <w:szCs w:val="28"/>
        </w:rPr>
        <w:t>Về việc thực hiện nghiêm chỉnh Pháp lệnh thuế nhà đất</w:t>
      </w:r>
    </w:p>
    <w:p w:rsidR="000473E3" w:rsidRPr="000473E3" w:rsidRDefault="000473E3" w:rsidP="000473E3">
      <w:pPr>
        <w:pStyle w:val="NormalWeb"/>
        <w:spacing w:before="120" w:beforeAutospacing="0" w:after="120" w:afterAutospacing="0" w:line="320" w:lineRule="exact"/>
        <w:ind w:firstLine="567"/>
        <w:jc w:val="both"/>
        <w:rPr>
          <w:sz w:val="28"/>
          <w:szCs w:val="28"/>
        </w:rPr>
      </w:pPr>
      <w:r w:rsidRPr="000473E3">
        <w:rPr>
          <w:sz w:val="28"/>
          <w:szCs w:val="28"/>
        </w:rPr>
        <w:t> </w:t>
      </w:r>
    </w:p>
    <w:p w:rsidR="000473E3" w:rsidRPr="000473E3" w:rsidRDefault="000473E3" w:rsidP="000473E3">
      <w:pPr>
        <w:pStyle w:val="NormalWeb"/>
        <w:spacing w:before="120" w:beforeAutospacing="0" w:after="120" w:afterAutospacing="0" w:line="320" w:lineRule="exact"/>
        <w:ind w:firstLine="567"/>
        <w:jc w:val="both"/>
        <w:rPr>
          <w:sz w:val="28"/>
          <w:szCs w:val="28"/>
        </w:rPr>
      </w:pPr>
      <w:r w:rsidRPr="000473E3">
        <w:rPr>
          <w:sz w:val="28"/>
          <w:szCs w:val="28"/>
        </w:rPr>
        <w:t xml:space="preserve">Thuế nhà đất là một sắc thuế mới được Quốc hội ban hành dưới hình thức Pháp lệnh có hiệu lực thi hành từ quý 4/1992. Ngày 19/5/1994 Uỷ ban Thường vụ Quốc hội công bố Pháp lệnh bổ xung sửa đổi một số điều về Pháp lệnh thuế nhà đất. Đây là một sắc thuế có phạm vi đối tượng thực hiện rất rộng, quá trình thực hiện có nhiều khó khăn, phức tạp nhưng lại có ý nghĩa quan trọng trong việc tăng cường quản lý Nhà nước về đất ở và đất xây dựng, khuyến khích sử dụng đất tiết kiệm, hiệu quả. Qua một năm thực hiện, mặc dù có nhiều khó khăn vướng mắc, song nhờ làm tốt công tác tuyên truyền chính sách thuế cùng với sự quan tâm lãnh đạo chỉ đạo tích cực của cấp uỷ và chính quyền địa phương, nên hầu hết các hộ gia đình ở các phường, xã, các doanh nghiệp trên địa bàn tỉnh đã chấp hành tương đối tốt Pháp lệnh thuế nhà đất, góp phần tích cực vào việc thực hiện cân đối ngân sách của địa phương. </w:t>
      </w:r>
    </w:p>
    <w:p w:rsidR="000473E3" w:rsidRPr="000473E3" w:rsidRDefault="000473E3" w:rsidP="000473E3">
      <w:pPr>
        <w:pStyle w:val="NormalWeb"/>
        <w:spacing w:before="120" w:beforeAutospacing="0" w:after="120" w:afterAutospacing="0" w:line="320" w:lineRule="exact"/>
        <w:ind w:firstLine="567"/>
        <w:jc w:val="both"/>
        <w:rPr>
          <w:sz w:val="28"/>
          <w:szCs w:val="28"/>
        </w:rPr>
      </w:pPr>
      <w:r w:rsidRPr="000473E3">
        <w:rPr>
          <w:sz w:val="28"/>
          <w:szCs w:val="28"/>
        </w:rPr>
        <w:t xml:space="preserve">Tuy nhiên qua công tác kiểm tra, thanh tra đã cho thấy việc thực hiện Pháp lệnh thuế nhà đất vẫn còn nổi lên một số tồn tại chủ yếu là: Một bộ phận không nhỏ các đối tượng nộp thuế, kể cả hộ gia đình và các doanh nghiệp chưa nghiêm túc thực hiện kê khai hoặc còn khai man diện tích để trốn thuế, đặc biệt là các hộ gia đình được giao đất ở nhưng chưa làm nhà, đất các kiốt, lều quán, đất các chợ cho thuê. Việc vận dụng các văn bản pháp quy để xác định căn cứ tính thuế và thực hiện tính thuế ở một số địa phương còn tuỳ tiện. Một số doanh nghiệp sử dụng đất lãng phí nhưng lấy lý do khó khăn để cố tình dây dưa chậm nộp thuế nhưng chưa được xử lý nghiêm minh theo Pháp lệnh thuế quy định. Những tồn tại đó không những không đảm bảo sự công bằng xã hội, gây thắc mắc trong nhân dân mà còn gây thất thu cho ngân sách Nhà nước. </w:t>
      </w:r>
    </w:p>
    <w:p w:rsidR="000473E3" w:rsidRPr="000473E3" w:rsidRDefault="000473E3" w:rsidP="000473E3">
      <w:pPr>
        <w:pStyle w:val="NormalWeb"/>
        <w:spacing w:before="120" w:beforeAutospacing="0" w:after="120" w:afterAutospacing="0" w:line="320" w:lineRule="exact"/>
        <w:ind w:firstLine="567"/>
        <w:jc w:val="both"/>
        <w:rPr>
          <w:sz w:val="28"/>
          <w:szCs w:val="28"/>
        </w:rPr>
      </w:pPr>
      <w:r w:rsidRPr="000473E3">
        <w:rPr>
          <w:sz w:val="28"/>
          <w:szCs w:val="28"/>
        </w:rPr>
        <w:t xml:space="preserve">Để khắc phục những tồn tại trên đây nhằm thực hiện nghiêm chỉnh thuế nhà đất, và Pháp lệnh bổ xung sửa đổi. Chủ tịch UBND tỉnh yêu cầu Chủ tịch UBND các huyện, thành, thị và Thủ trưởng các ngành liên quan: Cục thuế; Sở Địa chính; Uỷ ban thanh tra Nhà nước, Sở Tài chính vật giá khẩn chương thực hiện một số biện pháp sau đây: </w:t>
      </w:r>
    </w:p>
    <w:p w:rsidR="000473E3" w:rsidRPr="000473E3" w:rsidRDefault="000473E3" w:rsidP="000473E3">
      <w:pPr>
        <w:pStyle w:val="NormalWeb"/>
        <w:spacing w:before="120" w:beforeAutospacing="0" w:after="120" w:afterAutospacing="0" w:line="320" w:lineRule="exact"/>
        <w:ind w:firstLine="567"/>
        <w:jc w:val="both"/>
        <w:rPr>
          <w:sz w:val="28"/>
          <w:szCs w:val="28"/>
        </w:rPr>
      </w:pPr>
      <w:r w:rsidRPr="000473E3">
        <w:rPr>
          <w:sz w:val="28"/>
          <w:szCs w:val="28"/>
        </w:rPr>
        <w:t xml:space="preserve">1. Tiếp tục thực hiện tuyên truyền sâu rộng chính sách thuế nhà đất đến các đối tượng nộp thuế bằng nhiều hình thức và thông qua mọi phương tiện thông tin, nhằm giúp tất cả các đối tượng nộp thuế thông hiểu chính sách thuế. Từ đó có ý thức trong việc chấp hành nghĩa vụ của cá nhân, đơn vị nộp thuế. </w:t>
      </w:r>
    </w:p>
    <w:p w:rsidR="000473E3" w:rsidRPr="000473E3" w:rsidRDefault="000473E3" w:rsidP="000473E3">
      <w:pPr>
        <w:pStyle w:val="NormalWeb"/>
        <w:spacing w:before="120" w:beforeAutospacing="0" w:after="120" w:afterAutospacing="0" w:line="320" w:lineRule="exact"/>
        <w:ind w:firstLine="567"/>
        <w:jc w:val="both"/>
        <w:rPr>
          <w:sz w:val="28"/>
          <w:szCs w:val="28"/>
        </w:rPr>
      </w:pPr>
      <w:r w:rsidRPr="000473E3">
        <w:rPr>
          <w:sz w:val="28"/>
          <w:szCs w:val="28"/>
        </w:rPr>
        <w:lastRenderedPageBreak/>
        <w:t xml:space="preserve">2. UBND các huyện, thành, thị quyết định số lần, bậc, vị trí đất tính thuế ở các đô thị phải tuân theo quyết định phân loại được của UBND tỉnh và Thông tư số 83/CT đối với các trường hợp sau đây: </w:t>
      </w:r>
    </w:p>
    <w:p w:rsidR="000473E3" w:rsidRPr="000473E3" w:rsidRDefault="000473E3" w:rsidP="000473E3">
      <w:pPr>
        <w:pStyle w:val="NormalWeb"/>
        <w:spacing w:before="120" w:beforeAutospacing="0" w:after="120" w:afterAutospacing="0" w:line="320" w:lineRule="exact"/>
        <w:ind w:firstLine="567"/>
        <w:jc w:val="both"/>
        <w:rPr>
          <w:sz w:val="28"/>
          <w:szCs w:val="28"/>
        </w:rPr>
      </w:pPr>
      <w:r w:rsidRPr="000473E3">
        <w:rPr>
          <w:sz w:val="28"/>
          <w:szCs w:val="28"/>
        </w:rPr>
        <w:t xml:space="preserve">a. Đối với các hộ gia đình, các tổ chức đã được giao đất hợp pháp dù đã làm nhà ở, xây dựng công trình hay chưa làm phải tự giác kê khai để thực hiện tính thuế và truy thu đủ thuế đất kể từ ngày có quyết định và có biên bản giao đất. </w:t>
      </w:r>
    </w:p>
    <w:p w:rsidR="000473E3" w:rsidRPr="000473E3" w:rsidRDefault="000473E3" w:rsidP="000473E3">
      <w:pPr>
        <w:pStyle w:val="NormalWeb"/>
        <w:spacing w:before="120" w:beforeAutospacing="0" w:after="120" w:afterAutospacing="0" w:line="320" w:lineRule="exact"/>
        <w:ind w:firstLine="567"/>
        <w:jc w:val="both"/>
        <w:rPr>
          <w:sz w:val="28"/>
          <w:szCs w:val="28"/>
        </w:rPr>
      </w:pPr>
      <w:r w:rsidRPr="000473E3">
        <w:rPr>
          <w:sz w:val="28"/>
          <w:szCs w:val="28"/>
        </w:rPr>
        <w:t xml:space="preserve">Riêng đối với những hộ gia đình đã có biên bản giao đất nhưng chưa kê khai nộp thuế đất thì UBND phường, xã phải căn cứ vào vị trí đất, chủ hộ ban đầu được giao nhận đất thông báo đến từng chủ hộ yêu cầu phải kê khai nộp thuế đất, đồng thời thông báo trên các phương tiện thông tin sau 3 tháng kể từ ngày thông báo nếu hộ gia đình không tự giác kê khai nộp thuế đất thì UBND phường, xã báo cáo cấp trên ra quyết định giao đất để ra quyết định thu hồi đất. </w:t>
      </w:r>
    </w:p>
    <w:p w:rsidR="000473E3" w:rsidRPr="000473E3" w:rsidRDefault="000473E3" w:rsidP="000473E3">
      <w:pPr>
        <w:pStyle w:val="NormalWeb"/>
        <w:spacing w:before="120" w:beforeAutospacing="0" w:after="120" w:afterAutospacing="0" w:line="320" w:lineRule="exact"/>
        <w:ind w:firstLine="567"/>
        <w:jc w:val="both"/>
        <w:rPr>
          <w:sz w:val="28"/>
          <w:szCs w:val="28"/>
        </w:rPr>
      </w:pPr>
      <w:r w:rsidRPr="000473E3">
        <w:rPr>
          <w:sz w:val="28"/>
          <w:szCs w:val="28"/>
        </w:rPr>
        <w:t xml:space="preserve">Những trường hợp được giao đất nhưng đã bán mà chưa làm thủ tục nộp thuế chuyển quyền sử dụng đất, thuế thu nhập do bán nhà cùng với việc chuyển quyền sử dụng đất theo luật định thì trong vòng 3 tháng kể từ ngày thông báo đến chủ hợp pháp cũ nếu không làm thủ tục và các nghĩa vụ đối với Nhà nước về chuyển quyền sử dụng đất thì UBND phường, xã cũng đề nghị cấp có thẩm quyền ra quyết định thu đất. </w:t>
      </w:r>
    </w:p>
    <w:p w:rsidR="000473E3" w:rsidRPr="000473E3" w:rsidRDefault="000473E3" w:rsidP="000473E3">
      <w:pPr>
        <w:pStyle w:val="NormalWeb"/>
        <w:spacing w:before="120" w:beforeAutospacing="0" w:after="120" w:afterAutospacing="0" w:line="320" w:lineRule="exact"/>
        <w:ind w:firstLine="567"/>
        <w:jc w:val="both"/>
        <w:rPr>
          <w:sz w:val="28"/>
          <w:szCs w:val="28"/>
        </w:rPr>
      </w:pPr>
      <w:r w:rsidRPr="000473E3">
        <w:rPr>
          <w:sz w:val="28"/>
          <w:szCs w:val="28"/>
        </w:rPr>
        <w:t xml:space="preserve">b. Tất cả các trường hợp đã làm nhà xây dựng, công trình mà chưa có thủ tục giao đất hợp pháp phải thực hiện thu thuế đất thời điểm truy thu thuế tính từ khi xây dựng nhà ở, công trình đồng thời căn cứ vào Nghị định 60/CP, 61/CP để xem xét việc cấp hạn không cấp quyền sử dụng đất ở. Nếu xét thấy đủ điều kiện hợp thức thì lập danh sách riêng đề nghị cấp có thẩm quyền ra quyết định. Nếu xét thấy nhu cầu Nhà nước phải thu hồi đất thì tính đến thời điểm thu hồi. Ngoài việc thu thuế, truy thu thuế nhà đất còn phải xem xét để xử phạt hành chính về việc vi phạm luật đất đai. </w:t>
      </w:r>
    </w:p>
    <w:p w:rsidR="000473E3" w:rsidRPr="000473E3" w:rsidRDefault="000473E3" w:rsidP="000473E3">
      <w:pPr>
        <w:pStyle w:val="NormalWeb"/>
        <w:spacing w:before="120" w:beforeAutospacing="0" w:after="120" w:afterAutospacing="0" w:line="320" w:lineRule="exact"/>
        <w:ind w:firstLine="567"/>
        <w:jc w:val="both"/>
        <w:rPr>
          <w:sz w:val="28"/>
          <w:szCs w:val="28"/>
        </w:rPr>
      </w:pPr>
      <w:r w:rsidRPr="000473E3">
        <w:rPr>
          <w:sz w:val="28"/>
          <w:szCs w:val="28"/>
        </w:rPr>
        <w:t xml:space="preserve">c. Tất cả các trường hợp đất làm lều quán, kiốt, đất ở các chợ mà UBND các phường, xã huyện, thành, thị cho thuê đều phải tính thuế đất vào tổ chức cho thuê đất vào tổ chức cho thuê đất và phải nộp đủ thuế đất trước khi nộp tiền thuê đất vào ngân sách Nhà nước. Căn cứ vào chứng từ nộp tiền thuê đất đã nộp vào ngân sách để xem xét phần thuế đất phải nộp và truy thu thuế đất. Trường hợp tiền thu đất đã thu lần 1 và đã nộp vào ngân sách thì miễn truy thu thuế đất. Trường hợp tiền thuê đất đã thu 1 phần hoặc chưa thu nộp vào ngân sách thì phải truy thu đủ số thuế đất còn phải nộp với lô đất cho thuê. </w:t>
      </w:r>
    </w:p>
    <w:p w:rsidR="000473E3" w:rsidRPr="000473E3" w:rsidRDefault="000473E3" w:rsidP="000473E3">
      <w:pPr>
        <w:pStyle w:val="NormalWeb"/>
        <w:spacing w:before="120" w:beforeAutospacing="0" w:after="120" w:afterAutospacing="0" w:line="320" w:lineRule="exact"/>
        <w:ind w:firstLine="567"/>
        <w:jc w:val="both"/>
        <w:rPr>
          <w:sz w:val="28"/>
          <w:szCs w:val="28"/>
        </w:rPr>
      </w:pPr>
      <w:r w:rsidRPr="000473E3">
        <w:rPr>
          <w:sz w:val="28"/>
          <w:szCs w:val="28"/>
        </w:rPr>
        <w:t xml:space="preserve">d. Mọi trường hợp khai man diện tích trốn thuế, không thực hiện kê khai diện tích nộp thuế theo hướng dẫn của cơ quan thuế, dây dưa chậm nộp thuế phải thực hiện truy thu đủ số thuế thiếu, đồng thời phải thực hiện xử phạt vi phạm chính sách thuế theo luật định. Tất cả các trường hợp quý 4/1992 và năm 1993 Chi cục thuế đã tính thuế cho các doanh nghiệp đúng với diện tích đơn vị sử dụng và tính đúng với các văn bản pháp quy năm 1993 đã tương đối phù hợp với thực tế mà Thông tư 50-TC của Bộ Tài chính thì miễn truy thuế. </w:t>
      </w:r>
    </w:p>
    <w:p w:rsidR="000473E3" w:rsidRPr="000473E3" w:rsidRDefault="000473E3" w:rsidP="000473E3">
      <w:pPr>
        <w:pStyle w:val="NormalWeb"/>
        <w:spacing w:before="120" w:beforeAutospacing="0" w:after="120" w:afterAutospacing="0" w:line="320" w:lineRule="exact"/>
        <w:ind w:firstLine="567"/>
        <w:jc w:val="both"/>
        <w:rPr>
          <w:sz w:val="28"/>
          <w:szCs w:val="28"/>
        </w:rPr>
      </w:pPr>
      <w:r w:rsidRPr="000473E3">
        <w:rPr>
          <w:sz w:val="28"/>
          <w:szCs w:val="28"/>
        </w:rPr>
        <w:lastRenderedPageBreak/>
        <w:t xml:space="preserve">e. Từ ngày 01/1/1994 phải nghiêm chỉnh tính đúng, tính đủ, thuế đất theo các văn bản pháp quy hiện hành (Nghị định 94/CP, Thông tư 83-TL của Bộ Tài chính và quyết định phân loại đường phố của UBND tỉnh) theo từng khuôn viên, kể cả phần đất đơn vị chưa sử dụng hết nhưng đã rõ hướng mở rộng quy mô sản xuất sau này, đất của các đơn vị chờ giải thể. Nếu đơn vị xin trả lại đất thì miễn thu thuế trên phần đất trả lại Nhà nước. Kể từ ngày giao nhận trả đất; trong trường hợp đơn vị nếu tính thuế đất trên toàn bộ phần đất chưa sử dụng mà vì lý do khách quan kinh doanh thua lỗ thì tỉnh giao cho Cục thuế xem xét tạm hoãn, tạm miễn, giảm phần thuế trên diện tích chờ mở rộng quy mô sản xuất trong tỉnh trường hợp cụ thể. Đối với những đơn vị chờ giải thể Cục thuế theo dõi thuế đất trong một danh sách riêng và giải quyết thu thuế khi có quyết định xử lý giải thể thanh toán công nợ. </w:t>
      </w:r>
    </w:p>
    <w:p w:rsidR="000473E3" w:rsidRPr="000473E3" w:rsidRDefault="000473E3" w:rsidP="000473E3">
      <w:pPr>
        <w:pStyle w:val="NormalWeb"/>
        <w:spacing w:before="120" w:beforeAutospacing="0" w:after="120" w:afterAutospacing="0" w:line="320" w:lineRule="exact"/>
        <w:ind w:firstLine="567"/>
        <w:jc w:val="both"/>
        <w:rPr>
          <w:sz w:val="28"/>
          <w:szCs w:val="28"/>
        </w:rPr>
      </w:pPr>
      <w:r w:rsidRPr="000473E3">
        <w:rPr>
          <w:sz w:val="28"/>
          <w:szCs w:val="28"/>
        </w:rPr>
        <w:t xml:space="preserve">4. UBND tỉnh giao Cục thuế tỉnh phối hợp với Uỷ ban thanh tra Nhà nước tỉnh tiếp tục kiểm tra, thanh tra việc thực hiện thuế nhà đất quý 4/1992 và năm 1993 đối với các đơn vị còn lại trong tỉnh. </w:t>
      </w:r>
    </w:p>
    <w:p w:rsidR="000473E3" w:rsidRPr="000473E3" w:rsidRDefault="000473E3" w:rsidP="000473E3">
      <w:pPr>
        <w:pStyle w:val="NormalWeb"/>
        <w:spacing w:before="120" w:beforeAutospacing="0" w:after="120" w:afterAutospacing="0" w:line="320" w:lineRule="exact"/>
        <w:ind w:firstLine="567"/>
        <w:jc w:val="both"/>
        <w:rPr>
          <w:sz w:val="28"/>
          <w:szCs w:val="28"/>
        </w:rPr>
      </w:pPr>
      <w:r w:rsidRPr="000473E3">
        <w:rPr>
          <w:sz w:val="28"/>
          <w:szCs w:val="28"/>
        </w:rPr>
        <w:t xml:space="preserve">5. UBND tỉnh giao cho Sở Tài chính vật giá phối hợp với Cục thuế nghiên cứu xem xét phân định tỷ lệ điều tiết thuế nhà đất cho ngân sách xã, phường để thực hiện cho năm 1995 theo hướng mở rộng hợp lý tỷ lệ điều tiết thuế nhà đất cho ngân sách xã phường; động viên các xã phường thực hiện triệt để chính sách thuế nhà đất./. </w:t>
      </w:r>
    </w:p>
    <w:tbl>
      <w:tblPr>
        <w:tblStyle w:val="TableGrid"/>
        <w:tblW w:w="98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836"/>
        <w:gridCol w:w="6054"/>
      </w:tblGrid>
      <w:tr w:rsidR="000473E3" w:rsidRPr="000473E3" w:rsidTr="005931D1">
        <w:trPr>
          <w:trHeight w:val="1505"/>
        </w:trPr>
        <w:tc>
          <w:tcPr>
            <w:tcW w:w="3836" w:type="dxa"/>
          </w:tcPr>
          <w:p w:rsidR="000473E3" w:rsidRPr="000473E3" w:rsidRDefault="000473E3" w:rsidP="000473E3">
            <w:pPr>
              <w:spacing w:before="120" w:after="120" w:line="320" w:lineRule="exact"/>
              <w:rPr>
                <w:rFonts w:asciiTheme="majorHAnsi" w:eastAsia="Times New Roman" w:hAnsiTheme="majorHAnsi" w:cstheme="majorHAnsi"/>
                <w:b/>
                <w:sz w:val="28"/>
                <w:szCs w:val="28"/>
                <w:lang w:eastAsia="vi-VN"/>
              </w:rPr>
            </w:pPr>
          </w:p>
        </w:tc>
        <w:tc>
          <w:tcPr>
            <w:tcW w:w="6054" w:type="dxa"/>
          </w:tcPr>
          <w:p w:rsidR="000473E3" w:rsidRPr="000473E3" w:rsidRDefault="000473E3" w:rsidP="000473E3">
            <w:pPr>
              <w:spacing w:before="120" w:after="120" w:line="320" w:lineRule="exact"/>
              <w:jc w:val="center"/>
              <w:rPr>
                <w:rFonts w:asciiTheme="majorHAnsi" w:eastAsia="Times New Roman" w:hAnsiTheme="majorHAnsi" w:cstheme="majorHAnsi"/>
                <w:b/>
                <w:i/>
                <w:iCs/>
                <w:sz w:val="28"/>
                <w:szCs w:val="28"/>
                <w:lang w:eastAsia="vi-VN"/>
              </w:rPr>
            </w:pPr>
            <w:r w:rsidRPr="000473E3">
              <w:rPr>
                <w:rFonts w:asciiTheme="majorHAnsi" w:hAnsiTheme="majorHAnsi" w:cstheme="majorHAnsi"/>
                <w:b/>
                <w:sz w:val="28"/>
                <w:szCs w:val="28"/>
              </w:rPr>
              <w:t>CHỦ TỊCH</w:t>
            </w:r>
          </w:p>
          <w:p w:rsidR="000473E3" w:rsidRPr="000473E3" w:rsidRDefault="000473E3" w:rsidP="000473E3">
            <w:pPr>
              <w:spacing w:before="120" w:after="120" w:line="320" w:lineRule="exact"/>
              <w:jc w:val="center"/>
              <w:rPr>
                <w:rFonts w:asciiTheme="majorHAnsi" w:eastAsia="Times New Roman" w:hAnsiTheme="majorHAnsi" w:cstheme="majorHAnsi"/>
                <w:b/>
                <w:i/>
                <w:iCs/>
                <w:sz w:val="28"/>
                <w:szCs w:val="28"/>
                <w:lang w:eastAsia="vi-VN"/>
              </w:rPr>
            </w:pPr>
            <w:r w:rsidRPr="000473E3">
              <w:rPr>
                <w:rFonts w:asciiTheme="majorHAnsi" w:eastAsia="Times New Roman" w:hAnsiTheme="majorHAnsi" w:cstheme="majorHAnsi"/>
                <w:b/>
                <w:i/>
                <w:iCs/>
                <w:sz w:val="28"/>
                <w:szCs w:val="28"/>
                <w:lang w:eastAsia="vi-VN"/>
              </w:rPr>
              <w:t>(Đã ký)</w:t>
            </w:r>
          </w:p>
          <w:p w:rsidR="000473E3" w:rsidRPr="000473E3" w:rsidRDefault="000473E3" w:rsidP="000473E3">
            <w:pPr>
              <w:spacing w:before="120" w:after="120" w:line="320" w:lineRule="exact"/>
              <w:jc w:val="center"/>
              <w:rPr>
                <w:rFonts w:asciiTheme="majorHAnsi" w:eastAsia="Times New Roman" w:hAnsiTheme="majorHAnsi" w:cstheme="majorHAnsi"/>
                <w:b/>
                <w:i/>
                <w:iCs/>
                <w:sz w:val="28"/>
                <w:szCs w:val="28"/>
                <w:lang w:eastAsia="vi-VN"/>
              </w:rPr>
            </w:pPr>
          </w:p>
          <w:p w:rsidR="000473E3" w:rsidRPr="000473E3" w:rsidRDefault="000473E3" w:rsidP="000473E3">
            <w:pPr>
              <w:spacing w:before="120" w:after="120" w:line="320" w:lineRule="exact"/>
              <w:jc w:val="center"/>
              <w:rPr>
                <w:rFonts w:asciiTheme="majorHAnsi" w:eastAsia="Times New Roman" w:hAnsiTheme="majorHAnsi" w:cstheme="majorHAnsi"/>
                <w:b/>
                <w:i/>
                <w:iCs/>
                <w:sz w:val="28"/>
                <w:szCs w:val="28"/>
                <w:lang w:eastAsia="vi-VN"/>
              </w:rPr>
            </w:pPr>
          </w:p>
          <w:p w:rsidR="000473E3" w:rsidRPr="000473E3" w:rsidRDefault="000473E3" w:rsidP="000473E3">
            <w:pPr>
              <w:spacing w:before="120" w:after="120" w:line="320" w:lineRule="exact"/>
              <w:jc w:val="center"/>
              <w:rPr>
                <w:rFonts w:asciiTheme="majorHAnsi" w:eastAsia="Times New Roman" w:hAnsiTheme="majorHAnsi" w:cstheme="majorHAnsi"/>
                <w:b/>
                <w:sz w:val="28"/>
                <w:szCs w:val="28"/>
                <w:lang w:eastAsia="vi-VN"/>
              </w:rPr>
            </w:pPr>
            <w:r w:rsidRPr="000473E3">
              <w:rPr>
                <w:rFonts w:asciiTheme="majorHAnsi" w:hAnsiTheme="majorHAnsi" w:cstheme="majorHAnsi"/>
                <w:b/>
                <w:sz w:val="28"/>
                <w:szCs w:val="28"/>
              </w:rPr>
              <w:t>Nguyễn Văn Lâm</w:t>
            </w:r>
          </w:p>
        </w:tc>
      </w:tr>
    </w:tbl>
    <w:p w:rsidR="00BE1EA4" w:rsidRPr="000473E3" w:rsidRDefault="00BE1EA4" w:rsidP="000473E3">
      <w:pPr>
        <w:spacing w:before="120" w:after="120"/>
        <w:rPr>
          <w:sz w:val="28"/>
          <w:szCs w:val="28"/>
        </w:rPr>
      </w:pPr>
    </w:p>
    <w:sectPr w:rsidR="00BE1EA4" w:rsidRPr="000473E3" w:rsidSect="00BF7D47">
      <w:pgSz w:w="11906" w:h="16838" w:code="9"/>
      <w:pgMar w:top="1134" w:right="1134"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3"/>
    <w:family w:val="roman"/>
    <w:pitch w:val="variable"/>
    <w:sig w:usb0="E0002AFF" w:usb1="C0007841" w:usb2="00000009" w:usb3="00000000" w:csb0="000001FF" w:csb1="00000000"/>
  </w:font>
  <w:font w:name="Arial">
    <w:panose1 w:val="020B0604020202020204"/>
    <w:charset w:val="A3"/>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displayVerticalDrawingGridEvery w:val="2"/>
  <w:characterSpacingControl w:val="doNotCompress"/>
  <w:compat/>
  <w:rsids>
    <w:rsidRoot w:val="000473E3"/>
    <w:rsid w:val="000473E3"/>
    <w:rsid w:val="00A33F3C"/>
    <w:rsid w:val="00A60577"/>
    <w:rsid w:val="00BE1EA4"/>
    <w:rsid w:val="00BF7D47"/>
  </w:rsids>
  <m:mathPr>
    <m:mathFont m:val="Cambria Math"/>
    <m:brkBin m:val="before"/>
    <m:brkBinSub m:val="--"/>
    <m:smallFrac m:val="off"/>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27"/>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vi-VN" w:eastAsia="en-US" w:bidi="ar-SA"/>
      </w:rPr>
    </w:rPrDefault>
    <w:pPrDefault>
      <w:pPr>
        <w:spacing w:line="320" w:lineRule="exact"/>
        <w:ind w:firstLine="56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1EA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473E3"/>
    <w:pPr>
      <w:spacing w:before="100" w:beforeAutospacing="1" w:after="100" w:afterAutospacing="1" w:line="240" w:lineRule="auto"/>
      <w:ind w:firstLine="0"/>
      <w:jc w:val="left"/>
    </w:pPr>
    <w:rPr>
      <w:rFonts w:eastAsia="Times New Roman" w:cs="Times New Roman"/>
      <w:sz w:val="24"/>
      <w:szCs w:val="24"/>
      <w:lang w:eastAsia="vi-VN"/>
    </w:rPr>
  </w:style>
  <w:style w:type="table" w:styleId="TableGrid">
    <w:name w:val="Table Grid"/>
    <w:basedOn w:val="TableNormal"/>
    <w:uiPriority w:val="59"/>
    <w:rsid w:val="000473E3"/>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29729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36EF515-C10F-403F-96C2-4B55AC40B4F1}"/>
</file>

<file path=customXml/itemProps2.xml><?xml version="1.0" encoding="utf-8"?>
<ds:datastoreItem xmlns:ds="http://schemas.openxmlformats.org/officeDocument/2006/customXml" ds:itemID="{6C9FC792-0D9B-4BA9-827F-0F9DA514F072}"/>
</file>

<file path=customXml/itemProps3.xml><?xml version="1.0" encoding="utf-8"?>
<ds:datastoreItem xmlns:ds="http://schemas.openxmlformats.org/officeDocument/2006/customXml" ds:itemID="{8506FA16-C18E-4A3B-8AA6-5DCCC8E64C7E}"/>
</file>

<file path=docProps/app.xml><?xml version="1.0" encoding="utf-8"?>
<Properties xmlns="http://schemas.openxmlformats.org/officeDocument/2006/extended-properties" xmlns:vt="http://schemas.openxmlformats.org/officeDocument/2006/docPropsVTypes">
  <Template>Normal</Template>
  <TotalTime>7</TotalTime>
  <Pages>3</Pages>
  <Words>1043</Words>
  <Characters>5949</Characters>
  <Application>Microsoft Office Word</Application>
  <DocSecurity>0</DocSecurity>
  <Lines>49</Lines>
  <Paragraphs>13</Paragraphs>
  <ScaleCrop>false</ScaleCrop>
  <Company/>
  <LinksUpToDate>false</LinksUpToDate>
  <CharactersWithSpaces>6979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SOHOA-FSI1</dc:creator>
  <cp:lastModifiedBy>SOHOA-FSI1</cp:lastModifiedBy>
  <cp:revision>1</cp:revision>
  <dcterms:created xsi:type="dcterms:W3CDTF">2014-12-07T09:49:00Z</dcterms:created>
  <dcterms:modified xsi:type="dcterms:W3CDTF">2014-12-07T09:56:00Z</dcterms:modified>
</cp:coreProperties>
</file>