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197188" w:rsidRPr="00197188" w:rsidTr="00764DC3">
        <w:trPr>
          <w:trHeight w:val="1519"/>
        </w:trPr>
        <w:tc>
          <w:tcPr>
            <w:tcW w:w="3652" w:type="dxa"/>
          </w:tcPr>
          <w:p w:rsidR="00197188" w:rsidRPr="00197188" w:rsidRDefault="00197188" w:rsidP="00197188">
            <w:pPr>
              <w:ind w:firstLine="0"/>
              <w:jc w:val="center"/>
              <w:rPr>
                <w:rFonts w:asciiTheme="majorHAnsi" w:eastAsia="Times New Roman" w:hAnsiTheme="majorHAnsi" w:cstheme="majorHAnsi"/>
                <w:b/>
                <w:bCs/>
                <w:sz w:val="26"/>
                <w:szCs w:val="26"/>
                <w:lang w:val="en-US" w:eastAsia="vi-VN"/>
              </w:rPr>
            </w:pPr>
            <w:r w:rsidRPr="00197188">
              <w:rPr>
                <w:rFonts w:asciiTheme="majorHAnsi" w:eastAsia="Times New Roman" w:hAnsiTheme="majorHAnsi" w:cstheme="majorHAnsi"/>
                <w:b/>
                <w:bCs/>
                <w:sz w:val="26"/>
                <w:szCs w:val="26"/>
                <w:lang w:val="en-US" w:eastAsia="vi-VN"/>
              </w:rPr>
              <w:t>UBND TỈNH VĨNH PHÚ</w:t>
            </w:r>
          </w:p>
          <w:p w:rsidR="00197188" w:rsidRPr="00197188" w:rsidRDefault="00197188" w:rsidP="00197188">
            <w:pPr>
              <w:ind w:firstLine="0"/>
              <w:jc w:val="center"/>
              <w:rPr>
                <w:rFonts w:asciiTheme="majorHAnsi" w:eastAsia="Times New Roman" w:hAnsiTheme="majorHAnsi" w:cstheme="majorHAnsi"/>
                <w:sz w:val="26"/>
                <w:szCs w:val="26"/>
                <w:lang w:val="en-US" w:eastAsia="vi-VN"/>
              </w:rPr>
            </w:pPr>
            <w:r w:rsidRPr="00197188">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1.35pt;width:71.25pt;height:0;z-index:251660288" o:connectortype="straight"/>
              </w:pict>
            </w:r>
          </w:p>
          <w:p w:rsidR="00197188" w:rsidRPr="00197188" w:rsidRDefault="00197188" w:rsidP="00197188">
            <w:pPr>
              <w:ind w:firstLine="0"/>
              <w:jc w:val="center"/>
              <w:rPr>
                <w:rFonts w:asciiTheme="majorHAnsi" w:eastAsia="Times New Roman" w:hAnsiTheme="majorHAnsi" w:cstheme="majorHAnsi"/>
                <w:sz w:val="26"/>
                <w:szCs w:val="26"/>
                <w:lang w:val="en-US" w:eastAsia="vi-VN"/>
              </w:rPr>
            </w:pPr>
            <w:r w:rsidRPr="00197188">
              <w:rPr>
                <w:rFonts w:asciiTheme="majorHAnsi" w:eastAsia="Times New Roman" w:hAnsiTheme="majorHAnsi" w:cstheme="majorHAnsi"/>
                <w:sz w:val="26"/>
                <w:szCs w:val="26"/>
                <w:lang w:eastAsia="vi-VN"/>
              </w:rPr>
              <w:t xml:space="preserve">Số: </w:t>
            </w:r>
            <w:r w:rsidRPr="00197188">
              <w:rPr>
                <w:rFonts w:asciiTheme="majorHAnsi" w:hAnsiTheme="majorHAnsi" w:cstheme="majorHAnsi"/>
                <w:b/>
                <w:bCs/>
                <w:sz w:val="26"/>
                <w:szCs w:val="26"/>
              </w:rPr>
              <w:t>32/CT</w:t>
            </w:r>
          </w:p>
        </w:tc>
        <w:tc>
          <w:tcPr>
            <w:tcW w:w="6237" w:type="dxa"/>
          </w:tcPr>
          <w:p w:rsidR="00197188" w:rsidRPr="00197188" w:rsidRDefault="00197188" w:rsidP="00197188">
            <w:pPr>
              <w:ind w:firstLine="0"/>
              <w:jc w:val="center"/>
              <w:rPr>
                <w:rFonts w:asciiTheme="majorHAnsi" w:eastAsia="Times New Roman" w:hAnsiTheme="majorHAnsi" w:cstheme="majorHAnsi"/>
                <w:sz w:val="26"/>
                <w:szCs w:val="26"/>
                <w:lang w:eastAsia="vi-VN"/>
              </w:rPr>
            </w:pPr>
            <w:r w:rsidRPr="00197188">
              <w:rPr>
                <w:rFonts w:asciiTheme="majorHAnsi" w:eastAsia="Times New Roman" w:hAnsiTheme="majorHAnsi" w:cstheme="majorHAnsi"/>
                <w:b/>
                <w:bCs/>
                <w:sz w:val="26"/>
                <w:szCs w:val="26"/>
                <w:lang w:eastAsia="vi-VN"/>
              </w:rPr>
              <w:t>CỘNG HOÀ XÃ HỘI CHỦ NGHĨA VIỆT NAM</w:t>
            </w:r>
          </w:p>
          <w:p w:rsidR="00197188" w:rsidRPr="00197188" w:rsidRDefault="00197188" w:rsidP="00197188">
            <w:pPr>
              <w:ind w:firstLine="0"/>
              <w:jc w:val="center"/>
              <w:rPr>
                <w:rFonts w:asciiTheme="majorHAnsi" w:eastAsia="Times New Roman" w:hAnsiTheme="majorHAnsi" w:cstheme="majorHAnsi"/>
                <w:b/>
                <w:bCs/>
                <w:sz w:val="26"/>
                <w:szCs w:val="26"/>
                <w:lang w:val="en-US" w:eastAsia="vi-VN"/>
              </w:rPr>
            </w:pPr>
            <w:r w:rsidRPr="00197188">
              <w:rPr>
                <w:rFonts w:asciiTheme="majorHAnsi" w:eastAsia="Times New Roman" w:hAnsiTheme="majorHAnsi" w:cstheme="majorHAnsi"/>
                <w:b/>
                <w:bCs/>
                <w:sz w:val="26"/>
                <w:szCs w:val="26"/>
                <w:lang w:eastAsia="vi-VN"/>
              </w:rPr>
              <w:t>Độc lập - Tự do - Hạnh phúc</w:t>
            </w:r>
          </w:p>
          <w:p w:rsidR="00197188" w:rsidRPr="00197188" w:rsidRDefault="00197188" w:rsidP="00197188">
            <w:pPr>
              <w:ind w:firstLine="0"/>
              <w:jc w:val="center"/>
              <w:rPr>
                <w:rFonts w:asciiTheme="majorHAnsi" w:eastAsia="Times New Roman" w:hAnsiTheme="majorHAnsi" w:cstheme="majorHAnsi"/>
                <w:sz w:val="26"/>
                <w:szCs w:val="26"/>
                <w:lang w:val="en-US" w:eastAsia="vi-VN"/>
              </w:rPr>
            </w:pPr>
            <w:r w:rsidRPr="00197188">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197188" w:rsidRPr="00197188" w:rsidRDefault="00197188" w:rsidP="00197188">
            <w:pPr>
              <w:ind w:firstLine="0"/>
              <w:jc w:val="center"/>
              <w:rPr>
                <w:rFonts w:asciiTheme="majorHAnsi" w:eastAsia="Times New Roman" w:hAnsiTheme="majorHAnsi" w:cstheme="majorHAnsi"/>
                <w:b/>
                <w:bCs/>
                <w:sz w:val="26"/>
                <w:szCs w:val="26"/>
                <w:lang w:eastAsia="vi-VN"/>
              </w:rPr>
            </w:pPr>
            <w:r w:rsidRPr="00197188">
              <w:rPr>
                <w:rFonts w:asciiTheme="majorHAnsi" w:hAnsiTheme="majorHAnsi" w:cstheme="majorHAnsi"/>
                <w:i/>
                <w:iCs/>
                <w:sz w:val="26"/>
                <w:szCs w:val="26"/>
              </w:rPr>
              <w:t>Hà Nội, ngày 23 tháng 9 năm 1996</w:t>
            </w:r>
          </w:p>
        </w:tc>
      </w:tr>
    </w:tbl>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b/>
          <w:bCs/>
          <w:sz w:val="28"/>
          <w:szCs w:val="28"/>
        </w:rPr>
      </w:pPr>
    </w:p>
    <w:p w:rsidR="00197188" w:rsidRPr="00197188" w:rsidRDefault="00197188" w:rsidP="00197188">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197188">
        <w:rPr>
          <w:rFonts w:asciiTheme="majorHAnsi" w:hAnsiTheme="majorHAnsi" w:cstheme="majorHAnsi"/>
          <w:b/>
          <w:bCs/>
          <w:sz w:val="28"/>
          <w:szCs w:val="28"/>
        </w:rPr>
        <w:t>CHỈ THỊ CỦA CHỦ TỊCH UBND TỈNH VĨNH PHÚ</w:t>
      </w:r>
    </w:p>
    <w:p w:rsidR="00197188" w:rsidRPr="00197188" w:rsidRDefault="00197188" w:rsidP="00197188">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197188">
        <w:rPr>
          <w:rFonts w:asciiTheme="majorHAnsi" w:hAnsiTheme="majorHAnsi" w:cstheme="majorHAnsi"/>
          <w:b/>
          <w:bCs/>
          <w:i/>
          <w:iCs/>
          <w:sz w:val="28"/>
          <w:szCs w:val="28"/>
        </w:rPr>
        <w:t>Về việc chấn chỉnh, tăng cường quản lý đất sản xuất</w:t>
      </w:r>
    </w:p>
    <w:p w:rsidR="00197188" w:rsidRPr="00197188" w:rsidRDefault="00197188" w:rsidP="00197188">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197188">
        <w:rPr>
          <w:rFonts w:asciiTheme="majorHAnsi" w:hAnsiTheme="majorHAnsi" w:cstheme="majorHAnsi"/>
          <w:b/>
          <w:bCs/>
          <w:i/>
          <w:iCs/>
          <w:sz w:val="28"/>
          <w:szCs w:val="28"/>
        </w:rPr>
        <w:t>gạch ngói và các sản phẩm đất nung khác</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 </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Mấy năm gần đây UBND tỉnh đã có nhiều chủ trương, biện pháp để quản lý, sử dụng quỹ đất sản xuất gạch ngói và các sản phẩm đất nung khác: Quyết định 1555/QĐ-UB ngày 8/11/1993, gần đây là quyết định 1022 ngày 13/6/1995, sau hơn một năm thực hiện quyết định này đã thu được kết quả bước đầu:</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Hạn chế việc khai thác bừa bãi để sản xuất gạch ngói và các sản phẩm đất nung khác, góp phần hạ cốt hợp lý cải tạo mặt bằng sản xuất, bảo vệ môi sinh... Tuy nhiên, chuyển biến trên còn rất hạn chế, tồn tại còn nhiều.</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Tình trạng cấp đất trái thẩm quyền; Khai thác đất trên đất trồng lúa hạng cao, lợi dụng hạ thấp cốt đã làm cho một số diện tích bị thu hẹp hoặc mất khả năng sản xuất, biến đất từ 2 vụ thành 1 vụ; Thậm chí biến thành thùng đào, thùng đấu. Trình tự thủ tục xin khai thác đất sản xuất gạch ngói... thực hiện chưa nghiêm... Nguyên nhân chính của tình hình trên là do các cấp, các ngành nhận thức chưa đầy đủ về quản lý sử dụng đất ruộng, chưa quán triệt sâu sắc những quy định trong quyết định 1022. Chưa chỉ đạo chặt chẽ quyết định này, cho nên chưa phát hiện và xử lý có hiệu quả những sai trái trong quá trình thực hiện.</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Nhằm đưa công tác quản lý sử dụng đất gạch ngói và các sản phẩm đất nung khác vào nề nếp, kỷ cương theo quyết định 1022 của UBND tỉnh và Chỉ thị 247 của Thủ tướng Chính phủ. Chủ tịch UBND tỉnh chỉ thị Chủ tịch UBND các huyện, thành, thị, Thủ trưởng các ngành liên quan chỉ đạo thực hiện tốt một số việc sau đây:</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1. Rà soát kiểm kê toàn bộ diện tích đất đang sử dụng sản xuất gạch ngói và các sản phẩm đất nung khác của các tổ chức, cá nhân theo tinh thần chỉ thị 247/TTg ngày 22/4/1996. Những diện tích đất đang sử dụng để sản xuất gạch ngói và các sản phẩm đất nung khác phù hợp với quy hoạch và quyết định 1022 thì tiếp tục cho sử dụng; chủ sử dụng đất phải ký hợp đồng thuê đất theo quy định hiện hành; ngược lại, những diện tích đất đang sử dụng sản xuất gạch ngói và các sản phẩm đất nung khác không phù hợp với quy hoạch, không được cấp có thẩm quyền phê duyệt, làm ảnh hưởng tới môi trường thì đình chỉ hoạt động và khôi phục lại mặt bằng để trả lại đất sản xuất nông lâm nghiệp.</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lastRenderedPageBreak/>
        <w:t>Nguyên tắc là: Tận dụng đất đồi, đất trồng lúa hạng năng suất thấp, hiệu quả sản xuất nông nghiệp kém so với sử dụng để sản xuất gạch ngói và sản phẩm đất nung khác và không ảnh hưởng đến môi trường xung quanh.</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2. Quá trình chỉ đạo, quản lý sử dụng đất sản xuất gạch ngói và các sản phẩm đất nungkhác phải quán triệt nguyên tắc:</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 Sử dụng đất đến đâu thì quyết định giao đất đến đó: Khi không sử dụng phải san gạt, tạo mặt bằng để đưa vào sản xuất. Nghiêm cấm việc khai thác xong lại bỏ đất hoang, không sử dụng sản xuất được.</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 Các chủ sản xuất gạch ngói và các sản phẩm đất nung khác mang tính chất kinh doanh nhất thiết phải có chứng chỉ hành nghề do Sở xây dựng cấp.</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 Nghiêm cấm các hộ gia đình sử dụng đất được giao theo Nghị định 64/CP và Quyết định159/QĐ-UB dùng để sản xuất gạch ngói và các sản phẩm đất nung khác dưới bất kỳ hình thức nào.</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3. Chỉ đạo thực hiện:</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Chủ tịch UBND các huyện, thành, thị chịu trách nhiệm chỉ đạo các phòng ban chức năng của huyện, chính quyền cơ sở, tự kiểm tra, rà soát tình hình quản lý, sử dụng đất sản xuất gạch ngói và các sản phẩm đất nung khác từ trước đến nay trên địa bàn xã, huyện báo cáo UBND tỉnh (Qua Sở địa chính); hướng dẫn, đôn đốc các tổ chức, cá nhân làm thủ tục hợp thức đất trình cấp có thẩm quyền phê duyệt xong trong quí IV/1996. Đồng thời kiểm tra và xử lý (theo thẩm quyền) những vi phạm trong lĩnh vực này.</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 Sở Địa chính có trách nhiệm phối hợp với các ngành chức năng: xây dựng, thanh tra, công an, Viện kiểm sát, UBND các huyện, thành, thị tăng cường kiểm tra, giám sát, đôn đốc, phát hiện và xử lý vi phạm, tổng hợp báo cáo UBND tỉnh.</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rPr>
      </w:pPr>
      <w:r w:rsidRPr="00197188">
        <w:rPr>
          <w:rFonts w:asciiTheme="majorHAnsi" w:hAnsiTheme="majorHAnsi" w:cstheme="majorHAnsi"/>
          <w:sz w:val="28"/>
          <w:szCs w:val="28"/>
        </w:rPr>
        <w:t>- Các cơ quan thông tin đại chúng, theo chức năng nhiệm vụ được giao cần chủ động phối hợp với Sở Địa chính, các huyện, thành thị đi sâu thực tế, nắm bắt tình hình kịp thời cổ vũ động viên những đơn vị cá nhân làm tốt, phê phán, những đơn vị và cá nhân làm sai, hướng cho nhân dân làm đúng pháp luật.</w:t>
      </w:r>
    </w:p>
    <w:p w:rsid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lang w:val="en-US"/>
        </w:rPr>
      </w:pPr>
      <w:r w:rsidRPr="00197188">
        <w:rPr>
          <w:rFonts w:asciiTheme="majorHAnsi" w:hAnsiTheme="majorHAnsi" w:cstheme="majorHAnsi"/>
          <w:sz w:val="28"/>
          <w:szCs w:val="28"/>
        </w:rPr>
        <w:t>Yêu cầu Chủ tịch UBND các huyện, thành, thị, Thủ trưởng các ngành liên quan phổ biến, quán triệt chỉ thị này đến cơ sở./.</w:t>
      </w:r>
    </w:p>
    <w:p w:rsidR="00197188" w:rsidRPr="00197188" w:rsidRDefault="00197188" w:rsidP="00197188">
      <w:pPr>
        <w:pStyle w:val="NormalWeb"/>
        <w:spacing w:before="120" w:beforeAutospacing="0" w:after="120" w:afterAutospacing="0" w:line="320" w:lineRule="exact"/>
        <w:ind w:firstLine="567"/>
        <w:jc w:val="both"/>
        <w:rPr>
          <w:rFonts w:asciiTheme="majorHAnsi" w:hAnsiTheme="majorHAnsi" w:cstheme="majorHAnsi"/>
          <w:sz w:val="28"/>
          <w:szCs w:val="28"/>
          <w:lang w:val="en-US"/>
        </w:r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197188" w:rsidRPr="00197188" w:rsidTr="00764DC3">
        <w:trPr>
          <w:trHeight w:val="1505"/>
        </w:trPr>
        <w:tc>
          <w:tcPr>
            <w:tcW w:w="3836" w:type="dxa"/>
          </w:tcPr>
          <w:p w:rsidR="00197188" w:rsidRPr="00197188" w:rsidRDefault="00197188" w:rsidP="00197188">
            <w:pPr>
              <w:spacing w:before="120" w:after="120" w:line="320" w:lineRule="exact"/>
              <w:rPr>
                <w:rFonts w:asciiTheme="majorHAnsi" w:eastAsia="Times New Roman" w:hAnsiTheme="majorHAnsi" w:cstheme="majorHAnsi"/>
                <w:b/>
                <w:sz w:val="28"/>
                <w:szCs w:val="28"/>
                <w:lang w:eastAsia="vi-VN"/>
              </w:rPr>
            </w:pPr>
          </w:p>
        </w:tc>
        <w:tc>
          <w:tcPr>
            <w:tcW w:w="6054" w:type="dxa"/>
          </w:tcPr>
          <w:p w:rsidR="00197188" w:rsidRPr="00197188" w:rsidRDefault="00197188" w:rsidP="00197188">
            <w:pPr>
              <w:spacing w:before="120" w:after="120" w:line="320" w:lineRule="exact"/>
              <w:jc w:val="center"/>
              <w:rPr>
                <w:rFonts w:asciiTheme="majorHAnsi" w:hAnsiTheme="majorHAnsi" w:cstheme="majorHAnsi"/>
                <w:b/>
                <w:sz w:val="28"/>
                <w:szCs w:val="28"/>
              </w:rPr>
            </w:pPr>
            <w:r w:rsidRPr="00197188">
              <w:rPr>
                <w:rFonts w:asciiTheme="majorHAnsi" w:hAnsiTheme="majorHAnsi" w:cstheme="majorHAnsi"/>
                <w:b/>
                <w:sz w:val="28"/>
                <w:szCs w:val="28"/>
                <w:lang w:val="en-US"/>
              </w:rPr>
              <w:t xml:space="preserve">PHÓ </w:t>
            </w:r>
            <w:r w:rsidRPr="00197188">
              <w:rPr>
                <w:rFonts w:asciiTheme="majorHAnsi" w:hAnsiTheme="majorHAnsi" w:cstheme="majorHAnsi"/>
                <w:b/>
                <w:sz w:val="28"/>
                <w:szCs w:val="28"/>
              </w:rPr>
              <w:t>CHỦ TỊCH</w:t>
            </w:r>
          </w:p>
          <w:p w:rsidR="00197188" w:rsidRPr="00197188" w:rsidRDefault="00197188" w:rsidP="00197188">
            <w:pPr>
              <w:spacing w:before="120" w:after="120" w:line="320" w:lineRule="exact"/>
              <w:jc w:val="center"/>
              <w:rPr>
                <w:rFonts w:asciiTheme="majorHAnsi" w:eastAsia="Times New Roman" w:hAnsiTheme="majorHAnsi" w:cstheme="majorHAnsi"/>
                <w:b/>
                <w:i/>
                <w:iCs/>
                <w:sz w:val="28"/>
                <w:szCs w:val="28"/>
                <w:lang w:eastAsia="vi-VN"/>
              </w:rPr>
            </w:pPr>
            <w:r w:rsidRPr="00197188">
              <w:rPr>
                <w:rFonts w:asciiTheme="majorHAnsi" w:eastAsia="Times New Roman" w:hAnsiTheme="majorHAnsi" w:cstheme="majorHAnsi"/>
                <w:b/>
                <w:i/>
                <w:iCs/>
                <w:sz w:val="28"/>
                <w:szCs w:val="28"/>
                <w:lang w:eastAsia="vi-VN"/>
              </w:rPr>
              <w:t>(Đã ký)</w:t>
            </w:r>
          </w:p>
          <w:p w:rsidR="00197188" w:rsidRPr="00197188" w:rsidRDefault="00197188" w:rsidP="00197188">
            <w:pPr>
              <w:spacing w:before="120" w:after="120" w:line="320" w:lineRule="exact"/>
              <w:jc w:val="center"/>
              <w:rPr>
                <w:rFonts w:asciiTheme="majorHAnsi" w:eastAsia="Times New Roman" w:hAnsiTheme="majorHAnsi" w:cstheme="majorHAnsi"/>
                <w:b/>
                <w:i/>
                <w:iCs/>
                <w:sz w:val="28"/>
                <w:szCs w:val="28"/>
                <w:lang w:eastAsia="vi-VN"/>
              </w:rPr>
            </w:pPr>
          </w:p>
          <w:p w:rsidR="00197188" w:rsidRPr="00197188" w:rsidRDefault="00197188" w:rsidP="00197188">
            <w:pPr>
              <w:spacing w:before="120" w:after="120" w:line="320" w:lineRule="exact"/>
              <w:jc w:val="center"/>
              <w:rPr>
                <w:rFonts w:asciiTheme="majorHAnsi" w:eastAsia="Times New Roman" w:hAnsiTheme="majorHAnsi" w:cstheme="majorHAnsi"/>
                <w:b/>
                <w:i/>
                <w:iCs/>
                <w:sz w:val="28"/>
                <w:szCs w:val="28"/>
                <w:lang w:eastAsia="vi-VN"/>
              </w:rPr>
            </w:pPr>
          </w:p>
          <w:p w:rsidR="00197188" w:rsidRPr="00197188" w:rsidRDefault="00197188" w:rsidP="00197188">
            <w:pPr>
              <w:spacing w:before="120" w:after="120" w:line="320" w:lineRule="exact"/>
              <w:jc w:val="center"/>
              <w:rPr>
                <w:rFonts w:asciiTheme="majorHAnsi" w:eastAsia="Times New Roman" w:hAnsiTheme="majorHAnsi" w:cstheme="majorHAnsi"/>
                <w:b/>
                <w:sz w:val="28"/>
                <w:szCs w:val="28"/>
                <w:lang w:val="en-US" w:eastAsia="vi-VN"/>
              </w:rPr>
            </w:pPr>
            <w:proofErr w:type="spellStart"/>
            <w:r w:rsidRPr="00197188">
              <w:rPr>
                <w:rFonts w:asciiTheme="majorHAnsi" w:hAnsiTheme="majorHAnsi" w:cstheme="majorHAnsi"/>
                <w:b/>
                <w:sz w:val="28"/>
                <w:szCs w:val="28"/>
                <w:lang w:val="en-US"/>
              </w:rPr>
              <w:t>Trần</w:t>
            </w:r>
            <w:proofErr w:type="spellEnd"/>
            <w:r w:rsidRPr="00197188">
              <w:rPr>
                <w:rFonts w:asciiTheme="majorHAnsi" w:hAnsiTheme="majorHAnsi" w:cstheme="majorHAnsi"/>
                <w:b/>
                <w:sz w:val="28"/>
                <w:szCs w:val="28"/>
                <w:lang w:val="en-US"/>
              </w:rPr>
              <w:t xml:space="preserve"> </w:t>
            </w:r>
            <w:proofErr w:type="spellStart"/>
            <w:r w:rsidRPr="00197188">
              <w:rPr>
                <w:rFonts w:asciiTheme="majorHAnsi" w:hAnsiTheme="majorHAnsi" w:cstheme="majorHAnsi"/>
                <w:b/>
                <w:sz w:val="28"/>
                <w:szCs w:val="28"/>
                <w:lang w:val="en-US"/>
              </w:rPr>
              <w:t>Quang</w:t>
            </w:r>
            <w:proofErr w:type="spellEnd"/>
          </w:p>
        </w:tc>
      </w:tr>
    </w:tbl>
    <w:p w:rsidR="00BE1EA4" w:rsidRPr="00197188" w:rsidRDefault="00BE1EA4" w:rsidP="00197188">
      <w:pPr>
        <w:spacing w:before="120" w:after="120"/>
        <w:rPr>
          <w:rFonts w:asciiTheme="majorHAnsi" w:hAnsiTheme="majorHAnsi" w:cstheme="majorHAnsi"/>
          <w:sz w:val="28"/>
          <w:szCs w:val="28"/>
        </w:rPr>
      </w:pPr>
    </w:p>
    <w:sectPr w:rsidR="00BE1EA4" w:rsidRPr="00197188"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197188"/>
    <w:rsid w:val="00197188"/>
    <w:rsid w:val="005416BF"/>
    <w:rsid w:val="00A6057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188"/>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1971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5657159">
      <w:bodyDiv w:val="1"/>
      <w:marLeft w:val="0"/>
      <w:marRight w:val="0"/>
      <w:marTop w:val="0"/>
      <w:marBottom w:val="0"/>
      <w:divBdr>
        <w:top w:val="none" w:sz="0" w:space="0" w:color="auto"/>
        <w:left w:val="none" w:sz="0" w:space="0" w:color="auto"/>
        <w:bottom w:val="none" w:sz="0" w:space="0" w:color="auto"/>
        <w:right w:val="none" w:sz="0" w:space="0" w:color="auto"/>
      </w:divBdr>
    </w:div>
    <w:div w:id="15123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1CC09-A8FE-4077-8390-5A3980DD4DE5}"/>
</file>

<file path=customXml/itemProps2.xml><?xml version="1.0" encoding="utf-8"?>
<ds:datastoreItem xmlns:ds="http://schemas.openxmlformats.org/officeDocument/2006/customXml" ds:itemID="{3ACE4F82-83E1-4F02-AB1A-B633E8CF1D9B}"/>
</file>

<file path=customXml/itemProps3.xml><?xml version="1.0" encoding="utf-8"?>
<ds:datastoreItem xmlns:ds="http://schemas.openxmlformats.org/officeDocument/2006/customXml" ds:itemID="{74210A27-ED2D-45E8-9867-F50F81A97E79}"/>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2014-12-08T07:42:00Z</dcterms:created>
  <dcterms:modified xsi:type="dcterms:W3CDTF">2014-12-08T07:51:00Z</dcterms:modified>
</cp:coreProperties>
</file>