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83577" w:rsidRPr="00C83577" w:rsidTr="00C83577">
        <w:trPr>
          <w:tblCellSpacing w:w="0" w:type="dxa"/>
        </w:trPr>
        <w:tc>
          <w:tcPr>
            <w:tcW w:w="3348" w:type="dxa"/>
            <w:shd w:val="clear" w:color="auto" w:fill="FFFFFF"/>
            <w:tcMar>
              <w:top w:w="0" w:type="dxa"/>
              <w:left w:w="108" w:type="dxa"/>
              <w:bottom w:w="0"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CHÍNH PHỦ</w:t>
            </w:r>
            <w:r w:rsidRPr="00C83577">
              <w:rPr>
                <w:rFonts w:ascii="Times New Roman" w:eastAsia="Times New Roman" w:hAnsi="Times New Roman" w:cs="Times New Roman"/>
                <w:b/>
                <w:bCs/>
                <w:noProof w:val="0"/>
                <w:color w:val="000000"/>
                <w:sz w:val="18"/>
                <w:szCs w:val="18"/>
                <w:lang w:val="en-US"/>
              </w:rPr>
              <w:br/>
              <w:t>--------</w:t>
            </w:r>
          </w:p>
        </w:tc>
        <w:tc>
          <w:tcPr>
            <w:tcW w:w="5508" w:type="dxa"/>
            <w:shd w:val="clear" w:color="auto" w:fill="FFFFFF"/>
            <w:tcMar>
              <w:top w:w="0" w:type="dxa"/>
              <w:left w:w="108" w:type="dxa"/>
              <w:bottom w:w="0"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CỘNG HÒA XÃ HỘI CHỦ NGHĨA VIỆT NAM</w:t>
            </w:r>
            <w:r w:rsidRPr="00C83577">
              <w:rPr>
                <w:rFonts w:ascii="Times New Roman" w:eastAsia="Times New Roman" w:hAnsi="Times New Roman" w:cs="Times New Roman"/>
                <w:b/>
                <w:bCs/>
                <w:noProof w:val="0"/>
                <w:color w:val="000000"/>
                <w:sz w:val="18"/>
                <w:szCs w:val="18"/>
                <w:lang w:val="en-US"/>
              </w:rPr>
              <w:br/>
              <w:t>Độc lập - Tự do - Hạnh phúc</w:t>
            </w:r>
            <w:r w:rsidRPr="00C83577">
              <w:rPr>
                <w:rFonts w:ascii="Times New Roman" w:eastAsia="Times New Roman" w:hAnsi="Times New Roman" w:cs="Times New Roman"/>
                <w:b/>
                <w:bCs/>
                <w:noProof w:val="0"/>
                <w:color w:val="000000"/>
                <w:sz w:val="18"/>
                <w:szCs w:val="18"/>
                <w:lang w:val="en-US"/>
              </w:rPr>
              <w:br/>
              <w:t>---------------</w:t>
            </w:r>
          </w:p>
        </w:tc>
      </w:tr>
      <w:tr w:rsidR="00C83577" w:rsidRPr="00C83577" w:rsidTr="00C83577">
        <w:trPr>
          <w:tblCellSpacing w:w="0" w:type="dxa"/>
        </w:trPr>
        <w:tc>
          <w:tcPr>
            <w:tcW w:w="3348" w:type="dxa"/>
            <w:shd w:val="clear" w:color="auto" w:fill="FFFFFF"/>
            <w:tcMar>
              <w:top w:w="0" w:type="dxa"/>
              <w:left w:w="108" w:type="dxa"/>
              <w:bottom w:w="0"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Số: 55/2023/NĐ-CP</w:t>
            </w:r>
          </w:p>
        </w:tc>
        <w:tc>
          <w:tcPr>
            <w:tcW w:w="5508" w:type="dxa"/>
            <w:shd w:val="clear" w:color="auto" w:fill="FFFFFF"/>
            <w:tcMar>
              <w:top w:w="0" w:type="dxa"/>
              <w:left w:w="108" w:type="dxa"/>
              <w:bottom w:w="0" w:type="dxa"/>
              <w:right w:w="108" w:type="dxa"/>
            </w:tcMar>
            <w:hideMark/>
          </w:tcPr>
          <w:p w:rsidR="00C83577" w:rsidRPr="00C83577" w:rsidRDefault="00C83577" w:rsidP="00C83577">
            <w:pPr>
              <w:spacing w:before="120" w:after="120" w:line="234" w:lineRule="atLeast"/>
              <w:jc w:val="righ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Hà Nội, ngày 21 tháng 7 năm 2023</w:t>
            </w:r>
          </w:p>
        </w:tc>
      </w:tr>
    </w:tbl>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0" w:name="loai_1"/>
      <w:r w:rsidRPr="00C83577">
        <w:rPr>
          <w:rFonts w:ascii="Times New Roman" w:eastAsia="Times New Roman" w:hAnsi="Times New Roman" w:cs="Times New Roman"/>
          <w:b/>
          <w:bCs/>
          <w:noProof w:val="0"/>
          <w:color w:val="000000"/>
          <w:sz w:val="24"/>
          <w:szCs w:val="24"/>
          <w:lang w:val="en-US"/>
        </w:rPr>
        <w:t>NGHỊ ĐỊNH</w:t>
      </w:r>
      <w:bookmarkEnd w:id="0"/>
    </w:p>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 w:name="loai_1_name"/>
      <w:r w:rsidRPr="00C83577">
        <w:rPr>
          <w:rFonts w:ascii="Times New Roman" w:eastAsia="Times New Roman" w:hAnsi="Times New Roman" w:cs="Times New Roman"/>
          <w:noProof w:val="0"/>
          <w:color w:val="000000"/>
          <w:sz w:val="18"/>
          <w:szCs w:val="18"/>
          <w:lang w:val="en-US"/>
        </w:rPr>
        <w:t>SỬA ĐỔI, BỔ SUNG MỘT SỐ ĐIỀU CỦA NGHỊ ĐỊNH SỐ </w:t>
      </w:r>
      <w:bookmarkEnd w:id="1"/>
      <w:r w:rsidRPr="00C83577">
        <w:rPr>
          <w:rFonts w:ascii="Times New Roman" w:eastAsia="Times New Roman" w:hAnsi="Times New Roman" w:cs="Times New Roman"/>
          <w:noProof w:val="0"/>
          <w:color w:val="000000"/>
          <w:sz w:val="18"/>
          <w:szCs w:val="18"/>
          <w:lang w:val="en-US"/>
        </w:rPr>
        <w:fldChar w:fldCharType="begin"/>
      </w:r>
      <w:r w:rsidRPr="00C83577">
        <w:rPr>
          <w:rFonts w:ascii="Times New Roman" w:eastAsia="Times New Roman" w:hAnsi="Times New Roman" w:cs="Times New Roman"/>
          <w:noProof w:val="0"/>
          <w:color w:val="000000"/>
          <w:sz w:val="18"/>
          <w:szCs w:val="18"/>
          <w:lang w:val="en-US"/>
        </w:rPr>
        <w:instrText xml:space="preserve"> HYPERLINK "https://thuvienphapluat.vn/van-ban/tai-chinh-nha-nuoc/nghi-dinh-75-2021-nd-cp-muc-huong-tro-cap-phu-cap-che-do-uu-dai-nguoi-co-cong-voi-cach-mang-478188.aspx" \o "Nghị định 75/2021/NĐ-CP" \t "_blank" </w:instrText>
      </w:r>
      <w:r w:rsidRPr="00C83577">
        <w:rPr>
          <w:rFonts w:ascii="Times New Roman" w:eastAsia="Times New Roman" w:hAnsi="Times New Roman" w:cs="Times New Roman"/>
          <w:noProof w:val="0"/>
          <w:color w:val="000000"/>
          <w:sz w:val="18"/>
          <w:szCs w:val="18"/>
          <w:lang w:val="en-US"/>
        </w:rPr>
        <w:fldChar w:fldCharType="separate"/>
      </w:r>
      <w:r w:rsidRPr="00C83577">
        <w:rPr>
          <w:rFonts w:ascii="Times New Roman" w:eastAsia="Times New Roman" w:hAnsi="Times New Roman" w:cs="Times New Roman"/>
          <w:noProof w:val="0"/>
          <w:color w:val="0E70C3"/>
          <w:sz w:val="18"/>
          <w:szCs w:val="18"/>
          <w:lang w:val="en-US"/>
        </w:rPr>
        <w:t>75/2021/NĐ-CP</w:t>
      </w:r>
      <w:r w:rsidRPr="00C83577">
        <w:rPr>
          <w:rFonts w:ascii="Times New Roman" w:eastAsia="Times New Roman" w:hAnsi="Times New Roman" w:cs="Times New Roman"/>
          <w:noProof w:val="0"/>
          <w:color w:val="000000"/>
          <w:sz w:val="18"/>
          <w:szCs w:val="18"/>
          <w:lang w:val="en-US"/>
        </w:rPr>
        <w:fldChar w:fldCharType="end"/>
      </w:r>
      <w:r w:rsidRPr="00C83577">
        <w:rPr>
          <w:rFonts w:ascii="Times New Roman" w:eastAsia="Times New Roman" w:hAnsi="Times New Roman" w:cs="Times New Roman"/>
          <w:noProof w:val="0"/>
          <w:color w:val="000000"/>
          <w:sz w:val="18"/>
          <w:szCs w:val="18"/>
          <w:lang w:val="en-US"/>
        </w:rPr>
        <w:t> NGÀY 24 THÁNG 7 NĂM 2021 CỦA CHÍNH PHỦ QUY ĐỊNH MỨC HƯỞNG TRỢ CẤP, PHỤ CẤP VÀ CÁC CHẾ ĐỘ ƯU ĐÃI NGƯỜI CÓ CÔNG VỚI CÁCH MẠNG</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Căn cứ </w:t>
      </w:r>
      <w:bookmarkStart w:id="2" w:name="tvpllink_jofmpsyqcp"/>
      <w:r w:rsidRPr="00C83577">
        <w:rPr>
          <w:rFonts w:ascii="Times New Roman" w:eastAsia="Times New Roman" w:hAnsi="Times New Roman" w:cs="Times New Roman"/>
          <w:i/>
          <w:iCs/>
          <w:noProof w:val="0"/>
          <w:color w:val="000000"/>
          <w:sz w:val="18"/>
          <w:szCs w:val="18"/>
          <w:lang w:val="en-US"/>
        </w:rPr>
        <w:fldChar w:fldCharType="begin"/>
      </w:r>
      <w:r w:rsidRPr="00C83577">
        <w:rPr>
          <w:rFonts w:ascii="Times New Roman" w:eastAsia="Times New Roman" w:hAnsi="Times New Roman" w:cs="Times New Roman"/>
          <w:i/>
          <w:iCs/>
          <w:noProof w:val="0"/>
          <w:color w:val="000000"/>
          <w:sz w:val="18"/>
          <w:szCs w:val="18"/>
          <w:lang w:val="en-US"/>
        </w:rPr>
        <w:instrText xml:space="preserve"> HYPERLINK "https://thuvienphapluat.vn/van-ban/Bo-may-hanh-chinh/Luat-to-chuc-Chinh-phu-2015-282379.aspx" \t "_blank" </w:instrText>
      </w:r>
      <w:r w:rsidRPr="00C83577">
        <w:rPr>
          <w:rFonts w:ascii="Times New Roman" w:eastAsia="Times New Roman" w:hAnsi="Times New Roman" w:cs="Times New Roman"/>
          <w:i/>
          <w:iCs/>
          <w:noProof w:val="0"/>
          <w:color w:val="000000"/>
          <w:sz w:val="18"/>
          <w:szCs w:val="18"/>
          <w:lang w:val="en-US"/>
        </w:rPr>
        <w:fldChar w:fldCharType="separate"/>
      </w:r>
      <w:r w:rsidRPr="00C83577">
        <w:rPr>
          <w:rFonts w:ascii="Times New Roman" w:eastAsia="Times New Roman" w:hAnsi="Times New Roman" w:cs="Times New Roman"/>
          <w:i/>
          <w:iCs/>
          <w:noProof w:val="0"/>
          <w:color w:val="0E70C3"/>
          <w:sz w:val="18"/>
          <w:szCs w:val="18"/>
          <w:lang w:val="en-US"/>
        </w:rPr>
        <w:t>Luật Tổ chức Chính phủ</w:t>
      </w:r>
      <w:r w:rsidRPr="00C83577">
        <w:rPr>
          <w:rFonts w:ascii="Times New Roman" w:eastAsia="Times New Roman" w:hAnsi="Times New Roman" w:cs="Times New Roman"/>
          <w:i/>
          <w:iCs/>
          <w:noProof w:val="0"/>
          <w:color w:val="000000"/>
          <w:sz w:val="18"/>
          <w:szCs w:val="18"/>
          <w:lang w:val="en-US"/>
        </w:rPr>
        <w:fldChar w:fldCharType="end"/>
      </w:r>
      <w:bookmarkEnd w:id="2"/>
      <w:r w:rsidRPr="00C83577">
        <w:rPr>
          <w:rFonts w:ascii="Times New Roman" w:eastAsia="Times New Roman" w:hAnsi="Times New Roman" w:cs="Times New Roman"/>
          <w:i/>
          <w:iCs/>
          <w:noProof w:val="0"/>
          <w:color w:val="000000"/>
          <w:sz w:val="18"/>
          <w:szCs w:val="18"/>
          <w:lang w:val="en-US"/>
        </w:rPr>
        <w:t> ngày 19 tháng 6 năm 2015; </w:t>
      </w:r>
      <w:bookmarkStart w:id="3" w:name="tvpllink_cdgudmonqm"/>
      <w:r w:rsidRPr="00C83577">
        <w:rPr>
          <w:rFonts w:ascii="Times New Roman" w:eastAsia="Times New Roman" w:hAnsi="Times New Roman" w:cs="Times New Roman"/>
          <w:i/>
          <w:iCs/>
          <w:noProof w:val="0"/>
          <w:color w:val="000000"/>
          <w:sz w:val="18"/>
          <w:szCs w:val="18"/>
          <w:lang w:val="en-US"/>
        </w:rPr>
        <w:fldChar w:fldCharType="begin"/>
      </w:r>
      <w:r w:rsidRPr="00C83577">
        <w:rPr>
          <w:rFonts w:ascii="Times New Roman" w:eastAsia="Times New Roman" w:hAnsi="Times New Roman" w:cs="Times New Roman"/>
          <w:i/>
          <w:iCs/>
          <w:noProof w:val="0"/>
          <w:color w:val="000000"/>
          <w:sz w:val="18"/>
          <w:szCs w:val="18"/>
          <w:lang w:val="en-US"/>
        </w:rPr>
        <w:instrText xml:space="preserve"> HYPERLINK "https://thuvienphapluat.vn/van-ban/Bo-may-hanh-chinh/Luat-To-chuc-chinh-phu-va-Luat-To-chuc-chinh-quyen-dia-phuong-sua-doi-2019-411945.aspx" \t "_blank" </w:instrText>
      </w:r>
      <w:r w:rsidRPr="00C83577">
        <w:rPr>
          <w:rFonts w:ascii="Times New Roman" w:eastAsia="Times New Roman" w:hAnsi="Times New Roman" w:cs="Times New Roman"/>
          <w:i/>
          <w:iCs/>
          <w:noProof w:val="0"/>
          <w:color w:val="000000"/>
          <w:sz w:val="18"/>
          <w:szCs w:val="18"/>
          <w:lang w:val="en-US"/>
        </w:rPr>
        <w:fldChar w:fldCharType="separate"/>
      </w:r>
      <w:r w:rsidRPr="00C83577">
        <w:rPr>
          <w:rFonts w:ascii="Times New Roman" w:eastAsia="Times New Roman" w:hAnsi="Times New Roman" w:cs="Times New Roman"/>
          <w:i/>
          <w:iCs/>
          <w:noProof w:val="0"/>
          <w:color w:val="0E70C3"/>
          <w:sz w:val="18"/>
          <w:szCs w:val="18"/>
          <w:lang w:val="en-US"/>
        </w:rPr>
        <w:t>Luật sửa đổi, bổ sung một số điều của Luật Tổ chức Chính phủ và Luật Tổ chức chính quyền địa phương</w:t>
      </w:r>
      <w:r w:rsidRPr="00C83577">
        <w:rPr>
          <w:rFonts w:ascii="Times New Roman" w:eastAsia="Times New Roman" w:hAnsi="Times New Roman" w:cs="Times New Roman"/>
          <w:i/>
          <w:iCs/>
          <w:noProof w:val="0"/>
          <w:color w:val="000000"/>
          <w:sz w:val="18"/>
          <w:szCs w:val="18"/>
          <w:lang w:val="en-US"/>
        </w:rPr>
        <w:fldChar w:fldCharType="end"/>
      </w:r>
      <w:bookmarkEnd w:id="3"/>
      <w:r w:rsidRPr="00C83577">
        <w:rPr>
          <w:rFonts w:ascii="Times New Roman" w:eastAsia="Times New Roman" w:hAnsi="Times New Roman" w:cs="Times New Roman"/>
          <w:i/>
          <w:iCs/>
          <w:noProof w:val="0"/>
          <w:color w:val="000000"/>
          <w:sz w:val="18"/>
          <w:szCs w:val="18"/>
          <w:lang w:val="en-US"/>
        </w:rPr>
        <w:t> ngày 22 tháng 11 năm 2019;</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Căn cứ </w:t>
      </w:r>
      <w:bookmarkStart w:id="4" w:name="tvpllink_cihgwqrabd"/>
      <w:r w:rsidRPr="00C83577">
        <w:rPr>
          <w:rFonts w:ascii="Times New Roman" w:eastAsia="Times New Roman" w:hAnsi="Times New Roman" w:cs="Times New Roman"/>
          <w:i/>
          <w:iCs/>
          <w:noProof w:val="0"/>
          <w:color w:val="000000"/>
          <w:sz w:val="18"/>
          <w:szCs w:val="18"/>
          <w:lang w:val="en-US"/>
        </w:rPr>
        <w:fldChar w:fldCharType="begin"/>
      </w:r>
      <w:r w:rsidRPr="00C83577">
        <w:rPr>
          <w:rFonts w:ascii="Times New Roman" w:eastAsia="Times New Roman" w:hAnsi="Times New Roman" w:cs="Times New Roman"/>
          <w:i/>
          <w:iCs/>
          <w:noProof w:val="0"/>
          <w:color w:val="000000"/>
          <w:sz w:val="18"/>
          <w:szCs w:val="18"/>
          <w:lang w:val="en-US"/>
        </w:rPr>
        <w:instrText xml:space="preserve"> HYPERLINK "https://thuvienphapluat.vn/van-ban/Van-hoa-Xa-hoi/Phap-lenh-02-2020-UBTVQH14-uu-dai-nguoi-co-cong-voi-Cach-mang-460718.aspx" \t "_blank" </w:instrText>
      </w:r>
      <w:r w:rsidRPr="00C83577">
        <w:rPr>
          <w:rFonts w:ascii="Times New Roman" w:eastAsia="Times New Roman" w:hAnsi="Times New Roman" w:cs="Times New Roman"/>
          <w:i/>
          <w:iCs/>
          <w:noProof w:val="0"/>
          <w:color w:val="000000"/>
          <w:sz w:val="18"/>
          <w:szCs w:val="18"/>
          <w:lang w:val="en-US"/>
        </w:rPr>
        <w:fldChar w:fldCharType="separate"/>
      </w:r>
      <w:r w:rsidRPr="00C83577">
        <w:rPr>
          <w:rFonts w:ascii="Times New Roman" w:eastAsia="Times New Roman" w:hAnsi="Times New Roman" w:cs="Times New Roman"/>
          <w:i/>
          <w:iCs/>
          <w:noProof w:val="0"/>
          <w:color w:val="0E70C3"/>
          <w:sz w:val="18"/>
          <w:szCs w:val="18"/>
          <w:lang w:val="en-US"/>
        </w:rPr>
        <w:t>Pháp lệnh Ưu đãi người có công với cách mạng</w:t>
      </w:r>
      <w:r w:rsidRPr="00C83577">
        <w:rPr>
          <w:rFonts w:ascii="Times New Roman" w:eastAsia="Times New Roman" w:hAnsi="Times New Roman" w:cs="Times New Roman"/>
          <w:i/>
          <w:iCs/>
          <w:noProof w:val="0"/>
          <w:color w:val="000000"/>
          <w:sz w:val="18"/>
          <w:szCs w:val="18"/>
          <w:lang w:val="en-US"/>
        </w:rPr>
        <w:fldChar w:fldCharType="end"/>
      </w:r>
      <w:bookmarkEnd w:id="4"/>
      <w:r w:rsidRPr="00C83577">
        <w:rPr>
          <w:rFonts w:ascii="Times New Roman" w:eastAsia="Times New Roman" w:hAnsi="Times New Roman" w:cs="Times New Roman"/>
          <w:i/>
          <w:iCs/>
          <w:noProof w:val="0"/>
          <w:color w:val="000000"/>
          <w:sz w:val="18"/>
          <w:szCs w:val="18"/>
          <w:lang w:val="en-US"/>
        </w:rPr>
        <w:t> ngày 09 tháng 12 năm 2020;</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Theo đề nghị của Bộ trưởng Bộ Lao động - Thương binh và Xã hội;</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Chính phủ ban hành Nghị định sửa đổi, bổ sung một số điều của Nghị định số </w:t>
      </w:r>
      <w:bookmarkStart w:id="5" w:name="tvpllink_xpexzqeygz"/>
      <w:r w:rsidRPr="00C83577">
        <w:rPr>
          <w:rFonts w:ascii="Times New Roman" w:eastAsia="Times New Roman" w:hAnsi="Times New Roman" w:cs="Times New Roman"/>
          <w:i/>
          <w:iCs/>
          <w:noProof w:val="0"/>
          <w:color w:val="000000"/>
          <w:sz w:val="18"/>
          <w:szCs w:val="18"/>
          <w:lang w:val="en-US"/>
        </w:rPr>
        <w:fldChar w:fldCharType="begin"/>
      </w:r>
      <w:r w:rsidRPr="00C83577">
        <w:rPr>
          <w:rFonts w:ascii="Times New Roman" w:eastAsia="Times New Roman" w:hAnsi="Times New Roman" w:cs="Times New Roman"/>
          <w:i/>
          <w:iCs/>
          <w:noProof w:val="0"/>
          <w:color w:val="000000"/>
          <w:sz w:val="18"/>
          <w:szCs w:val="18"/>
          <w:lang w:val="en-US"/>
        </w:rPr>
        <w:instrText xml:space="preserve"> HYPERLINK "https://thuvienphapluat.vn/van-ban/tai-chinh-nha-nuoc/nghi-dinh-75-2021-nd-cp-muc-huong-tro-cap-phu-cap-che-do-uu-dai-nguoi-co-cong-voi-cach-mang-478188.aspx" \t "_blank" </w:instrText>
      </w:r>
      <w:r w:rsidRPr="00C83577">
        <w:rPr>
          <w:rFonts w:ascii="Times New Roman" w:eastAsia="Times New Roman" w:hAnsi="Times New Roman" w:cs="Times New Roman"/>
          <w:i/>
          <w:iCs/>
          <w:noProof w:val="0"/>
          <w:color w:val="000000"/>
          <w:sz w:val="18"/>
          <w:szCs w:val="18"/>
          <w:lang w:val="en-US"/>
        </w:rPr>
        <w:fldChar w:fldCharType="separate"/>
      </w:r>
      <w:r w:rsidRPr="00C83577">
        <w:rPr>
          <w:rFonts w:ascii="Times New Roman" w:eastAsia="Times New Roman" w:hAnsi="Times New Roman" w:cs="Times New Roman"/>
          <w:i/>
          <w:iCs/>
          <w:noProof w:val="0"/>
          <w:color w:val="0E70C3"/>
          <w:sz w:val="18"/>
          <w:szCs w:val="18"/>
          <w:lang w:val="en-US"/>
        </w:rPr>
        <w:t>75/2021/NĐ-CP</w:t>
      </w:r>
      <w:r w:rsidRPr="00C83577">
        <w:rPr>
          <w:rFonts w:ascii="Times New Roman" w:eastAsia="Times New Roman" w:hAnsi="Times New Roman" w:cs="Times New Roman"/>
          <w:i/>
          <w:iCs/>
          <w:noProof w:val="0"/>
          <w:color w:val="000000"/>
          <w:sz w:val="18"/>
          <w:szCs w:val="18"/>
          <w:lang w:val="en-US"/>
        </w:rPr>
        <w:fldChar w:fldCharType="end"/>
      </w:r>
      <w:bookmarkEnd w:id="5"/>
      <w:r w:rsidRPr="00C83577">
        <w:rPr>
          <w:rFonts w:ascii="Times New Roman" w:eastAsia="Times New Roman" w:hAnsi="Times New Roman" w:cs="Times New Roman"/>
          <w:i/>
          <w:iCs/>
          <w:noProof w:val="0"/>
          <w:color w:val="000000"/>
          <w:sz w:val="18"/>
          <w:szCs w:val="18"/>
          <w:lang w:val="en-US"/>
        </w:rPr>
        <w:t> ngày 24 tháng 7 năm 2021 của Chính phủ quy định mức hưởng trợ cấp, phụ cấp và các chế độ ưu đãi người có công với cách mạng.</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6" w:name="dieu_1"/>
      <w:r w:rsidRPr="00C83577">
        <w:rPr>
          <w:rFonts w:ascii="Times New Roman" w:eastAsia="Times New Roman" w:hAnsi="Times New Roman" w:cs="Times New Roman"/>
          <w:b/>
          <w:bCs/>
          <w:noProof w:val="0"/>
          <w:color w:val="000000"/>
          <w:sz w:val="18"/>
          <w:szCs w:val="18"/>
          <w:lang w:val="en-US"/>
        </w:rPr>
        <w:t>Điều 1. Sửa đổi, bổ sung một số điều của Nghị định số</w:t>
      </w:r>
      <w:bookmarkEnd w:id="6"/>
      <w:r w:rsidRPr="00C83577">
        <w:rPr>
          <w:rFonts w:ascii="Times New Roman" w:eastAsia="Times New Roman" w:hAnsi="Times New Roman" w:cs="Times New Roman"/>
          <w:b/>
          <w:bCs/>
          <w:noProof w:val="0"/>
          <w:color w:val="000000"/>
          <w:sz w:val="18"/>
          <w:szCs w:val="18"/>
          <w:lang w:val="en-US"/>
        </w:rPr>
        <w:t> </w:t>
      </w:r>
      <w:hyperlink r:id="rId4" w:tgtFrame="_blank" w:tooltip="Nghị định 75/2021/NĐ-CP" w:history="1">
        <w:r w:rsidRPr="00C83577">
          <w:rPr>
            <w:rFonts w:ascii="Times New Roman" w:eastAsia="Times New Roman" w:hAnsi="Times New Roman" w:cs="Times New Roman"/>
            <w:b/>
            <w:bCs/>
            <w:noProof w:val="0"/>
            <w:color w:val="0E70C3"/>
            <w:sz w:val="18"/>
            <w:szCs w:val="18"/>
            <w:lang w:val="en-US"/>
          </w:rPr>
          <w:t>75/2021/NĐ-CP</w:t>
        </w:r>
      </w:hyperlink>
      <w:r w:rsidRPr="00C83577">
        <w:rPr>
          <w:rFonts w:ascii="Times New Roman" w:eastAsia="Times New Roman" w:hAnsi="Times New Roman" w:cs="Times New Roman"/>
          <w:b/>
          <w:bCs/>
          <w:noProof w:val="0"/>
          <w:color w:val="000000"/>
          <w:sz w:val="18"/>
          <w:szCs w:val="18"/>
          <w:lang w:val="en-US"/>
        </w:rPr>
        <w:t> </w:t>
      </w:r>
      <w:bookmarkStart w:id="7" w:name="dieu_1_name"/>
      <w:r w:rsidRPr="00C83577">
        <w:rPr>
          <w:rFonts w:ascii="Times New Roman" w:eastAsia="Times New Roman" w:hAnsi="Times New Roman" w:cs="Times New Roman"/>
          <w:b/>
          <w:bCs/>
          <w:noProof w:val="0"/>
          <w:color w:val="000000"/>
          <w:sz w:val="18"/>
          <w:szCs w:val="18"/>
          <w:lang w:val="en-US"/>
        </w:rPr>
        <w:t>ngày 24 tháng 7 năm 2021 của Chính phủ quy định mức hưởng trợ cấp, phụ cấp và các chế độ ưu đãi người có công với cách mạng</w:t>
      </w:r>
      <w:bookmarkEnd w:id="7"/>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8" w:name="khoan_1_1"/>
      <w:r w:rsidRPr="00C83577">
        <w:rPr>
          <w:rFonts w:ascii="Times New Roman" w:eastAsia="Times New Roman" w:hAnsi="Times New Roman" w:cs="Times New Roman"/>
          <w:noProof w:val="0"/>
          <w:color w:val="000000"/>
          <w:sz w:val="18"/>
          <w:szCs w:val="18"/>
          <w:lang w:val="en-US"/>
        </w:rPr>
        <w:t>1. Sửa đổi, bổ sung</w:t>
      </w:r>
      <w:bookmarkEnd w:id="8"/>
      <w:r w:rsidRPr="00C83577">
        <w:rPr>
          <w:rFonts w:ascii="Times New Roman" w:eastAsia="Times New Roman" w:hAnsi="Times New Roman" w:cs="Times New Roman"/>
          <w:noProof w:val="0"/>
          <w:color w:val="000000"/>
          <w:sz w:val="18"/>
          <w:szCs w:val="18"/>
          <w:lang w:val="en-US"/>
        </w:rPr>
        <w:t> </w:t>
      </w:r>
      <w:bookmarkStart w:id="9" w:name="dc_1"/>
      <w:r w:rsidRPr="00C83577">
        <w:rPr>
          <w:rFonts w:ascii="Times New Roman" w:eastAsia="Times New Roman" w:hAnsi="Times New Roman" w:cs="Times New Roman"/>
          <w:noProof w:val="0"/>
          <w:color w:val="000000"/>
          <w:sz w:val="18"/>
          <w:szCs w:val="18"/>
          <w:lang w:val="en-US"/>
        </w:rPr>
        <w:t>Điều 1</w:t>
      </w:r>
      <w:bookmarkEnd w:id="9"/>
      <w:r w:rsidRPr="00C83577">
        <w:rPr>
          <w:rFonts w:ascii="Times New Roman" w:eastAsia="Times New Roman" w:hAnsi="Times New Roman" w:cs="Times New Roman"/>
          <w:noProof w:val="0"/>
          <w:color w:val="000000"/>
          <w:sz w:val="18"/>
          <w:szCs w:val="18"/>
          <w:lang w:val="en-US"/>
        </w:rPr>
        <w:t> </w:t>
      </w:r>
      <w:bookmarkStart w:id="10" w:name="khoan_1_1_name"/>
      <w:r w:rsidRPr="00C83577">
        <w:rPr>
          <w:rFonts w:ascii="Times New Roman" w:eastAsia="Times New Roman" w:hAnsi="Times New Roman" w:cs="Times New Roman"/>
          <w:noProof w:val="0"/>
          <w:color w:val="000000"/>
          <w:sz w:val="18"/>
          <w:szCs w:val="18"/>
          <w:lang w:val="en-US"/>
        </w:rPr>
        <w:t>như sau:</w:t>
      </w:r>
      <w:bookmarkEnd w:id="10"/>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“Điều 1. Phạm vi điều chỉnh</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Nghị định này quy định về mức hưởng trợ cấp, phụ cấp ưu đãi người có công với cách mạng, thân nhân của người có công với cách mạng và các chế độ ưu đãi đối với người có công với cách mạng từ nguồn ngân sách trung ương thực hiện Pháp lệnh Ưu đãi người có công với cách mạng được bố trí trong dự toán ngân sách nhà nước chi thường xuyên hằng năm của Bộ Lao động - Thương binh và Xã hội, Bộ Quốc phòng, Bộ Công an”.</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1" w:name="khoan_2_1"/>
      <w:r w:rsidRPr="00C83577">
        <w:rPr>
          <w:rFonts w:ascii="Times New Roman" w:eastAsia="Times New Roman" w:hAnsi="Times New Roman" w:cs="Times New Roman"/>
          <w:noProof w:val="0"/>
          <w:color w:val="000000"/>
          <w:sz w:val="18"/>
          <w:szCs w:val="18"/>
          <w:lang w:val="en-US"/>
        </w:rPr>
        <w:t>2. Sửa đổi, bổ sung</w:t>
      </w:r>
      <w:bookmarkEnd w:id="11"/>
      <w:r w:rsidRPr="00C83577">
        <w:rPr>
          <w:rFonts w:ascii="Times New Roman" w:eastAsia="Times New Roman" w:hAnsi="Times New Roman" w:cs="Times New Roman"/>
          <w:noProof w:val="0"/>
          <w:color w:val="000000"/>
          <w:sz w:val="18"/>
          <w:szCs w:val="18"/>
          <w:lang w:val="en-US"/>
        </w:rPr>
        <w:t> </w:t>
      </w:r>
      <w:bookmarkStart w:id="12" w:name="dc_2"/>
      <w:r w:rsidRPr="00C83577">
        <w:rPr>
          <w:rFonts w:ascii="Times New Roman" w:eastAsia="Times New Roman" w:hAnsi="Times New Roman" w:cs="Times New Roman"/>
          <w:noProof w:val="0"/>
          <w:color w:val="000000"/>
          <w:sz w:val="18"/>
          <w:szCs w:val="18"/>
          <w:lang w:val="en-US"/>
        </w:rPr>
        <w:t>Điều 3</w:t>
      </w:r>
      <w:bookmarkEnd w:id="12"/>
      <w:r w:rsidRPr="00C83577">
        <w:rPr>
          <w:rFonts w:ascii="Times New Roman" w:eastAsia="Times New Roman" w:hAnsi="Times New Roman" w:cs="Times New Roman"/>
          <w:noProof w:val="0"/>
          <w:color w:val="000000"/>
          <w:sz w:val="18"/>
          <w:szCs w:val="18"/>
          <w:lang w:val="en-US"/>
        </w:rPr>
        <w:t> </w:t>
      </w:r>
      <w:bookmarkStart w:id="13" w:name="khoan_2_1_name"/>
      <w:r w:rsidRPr="00C83577">
        <w:rPr>
          <w:rFonts w:ascii="Times New Roman" w:eastAsia="Times New Roman" w:hAnsi="Times New Roman" w:cs="Times New Roman"/>
          <w:noProof w:val="0"/>
          <w:color w:val="000000"/>
          <w:sz w:val="18"/>
          <w:szCs w:val="18"/>
          <w:lang w:val="en-US"/>
        </w:rPr>
        <w:t>như sau:</w:t>
      </w:r>
      <w:bookmarkEnd w:id="13"/>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“Điều 3. Mức chuẩn trợ cấp ưu đãi</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4" w:name="khoan_1_3"/>
      <w:r w:rsidRPr="00C83577">
        <w:rPr>
          <w:rFonts w:ascii="Times New Roman" w:eastAsia="Times New Roman" w:hAnsi="Times New Roman" w:cs="Times New Roman"/>
          <w:noProof w:val="0"/>
          <w:color w:val="000000"/>
          <w:sz w:val="18"/>
          <w:szCs w:val="18"/>
          <w:shd w:val="clear" w:color="auto" w:fill="FFFF96"/>
          <w:lang w:val="en-US"/>
        </w:rPr>
        <w:t>1. Mức chuẩn trợ cấp ưu đãi người có công với cách mạng là 2.055.000 đồng (sau đây gọi tắt là mức chuẩn).</w:t>
      </w:r>
      <w:bookmarkEnd w:id="14"/>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 Mức chuẩn quy định tại khoản 1 Điều này làm căn cứ để tính mức hưởng trợ cấp, phụ cấp và các chế độ ưu đãi đối với người có công với cách mạng và thân nhân người có công với cách mạng. Các mức quy định theo mức chuẩn tại Nghị định này được điều chỉnh khi mức chuẩn được điều chỉnh và làm tròn đến hàng nghìn đồng”.</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5" w:name="khoan_3_1"/>
      <w:r w:rsidRPr="00C83577">
        <w:rPr>
          <w:rFonts w:ascii="Times New Roman" w:eastAsia="Times New Roman" w:hAnsi="Times New Roman" w:cs="Times New Roman"/>
          <w:noProof w:val="0"/>
          <w:color w:val="000000"/>
          <w:sz w:val="18"/>
          <w:szCs w:val="18"/>
          <w:lang w:val="en-US"/>
        </w:rPr>
        <w:t>3. Sửa đổi, bổ sung</w:t>
      </w:r>
      <w:bookmarkEnd w:id="15"/>
      <w:r w:rsidRPr="00C83577">
        <w:rPr>
          <w:rFonts w:ascii="Times New Roman" w:eastAsia="Times New Roman" w:hAnsi="Times New Roman" w:cs="Times New Roman"/>
          <w:noProof w:val="0"/>
          <w:color w:val="000000"/>
          <w:sz w:val="18"/>
          <w:szCs w:val="18"/>
          <w:lang w:val="en-US"/>
        </w:rPr>
        <w:t> </w:t>
      </w:r>
      <w:bookmarkStart w:id="16" w:name="dc_3"/>
      <w:r w:rsidRPr="00C83577">
        <w:rPr>
          <w:rFonts w:ascii="Times New Roman" w:eastAsia="Times New Roman" w:hAnsi="Times New Roman" w:cs="Times New Roman"/>
          <w:noProof w:val="0"/>
          <w:color w:val="000000"/>
          <w:sz w:val="18"/>
          <w:szCs w:val="18"/>
          <w:lang w:val="en-US"/>
        </w:rPr>
        <w:t>Điều 4</w:t>
      </w:r>
      <w:bookmarkEnd w:id="16"/>
      <w:r w:rsidRPr="00C83577">
        <w:rPr>
          <w:rFonts w:ascii="Times New Roman" w:eastAsia="Times New Roman" w:hAnsi="Times New Roman" w:cs="Times New Roman"/>
          <w:noProof w:val="0"/>
          <w:color w:val="000000"/>
          <w:sz w:val="18"/>
          <w:szCs w:val="18"/>
          <w:lang w:val="en-US"/>
        </w:rPr>
        <w:t> </w:t>
      </w:r>
      <w:bookmarkStart w:id="17" w:name="khoan_3_1_name"/>
      <w:r w:rsidRPr="00C83577">
        <w:rPr>
          <w:rFonts w:ascii="Times New Roman" w:eastAsia="Times New Roman" w:hAnsi="Times New Roman" w:cs="Times New Roman"/>
          <w:noProof w:val="0"/>
          <w:color w:val="000000"/>
          <w:sz w:val="18"/>
          <w:szCs w:val="18"/>
          <w:lang w:val="en-US"/>
        </w:rPr>
        <w:t>như sau:</w:t>
      </w:r>
      <w:bookmarkEnd w:id="17"/>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“Điều 4. Mức hưởng trợ cấp, phụ cấp ưu đãi</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 Mức hưởng trợ cấp, phụ cấp ưu đãi hằng tháng đối với người có công với cách mạng và thân nhân của người có công với cách mạng được quy định tại Phụ lục I ban hành kèm theo Nghị định này.</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 Mức hưởng trợ cấp ưu đãi hằng tháng đối với thương binh, người hưởng chính sách như thương binh được quy định tại Phụ lục II ban hành kèm theo Nghị định này.</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 Mức hưởng trợ cấp ưu đãi hằng tháng đối với thương binh loại B được quy định tại Phụ lục III ban hành kèm theo Nghị định này.</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 Mức hưởng trợ cấp ưu đãi một lần đối với người có công với cách mạng và thân nhân người có công với cách mạng được quy định tại Phụ lục IV ban hành kèm theo Nghị định này. Trường hợp mức trợ cấp một lần tính theo thâm niên thì sau khi đã tính tròn số năm tham gia kháng chiến mà còn có tháng lẻ thì số tháng lẻ được tính tròn số theo nguyên tắc: từ đủ 06 tháng đến dưới 12 tháng được tính là 01 năm, dưới 06 tháng được tính là 06 tháng. Trường hợp không xác định được ngày, tháng bắt đầu hoạt động kháng chiến thì được tính từ ngày 01 tháng 7 của năm đó”.</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18" w:name="khoan_4_1"/>
      <w:r w:rsidRPr="00C83577">
        <w:rPr>
          <w:rFonts w:ascii="Times New Roman" w:eastAsia="Times New Roman" w:hAnsi="Times New Roman" w:cs="Times New Roman"/>
          <w:noProof w:val="0"/>
          <w:color w:val="000000"/>
          <w:sz w:val="18"/>
          <w:szCs w:val="18"/>
          <w:lang w:val="en-US"/>
        </w:rPr>
        <w:t>4. Sửa đổi, bổ sung một số điểm, khoản của</w:t>
      </w:r>
      <w:bookmarkEnd w:id="18"/>
      <w:r w:rsidRPr="00C83577">
        <w:rPr>
          <w:rFonts w:ascii="Times New Roman" w:eastAsia="Times New Roman" w:hAnsi="Times New Roman" w:cs="Times New Roman"/>
          <w:noProof w:val="0"/>
          <w:color w:val="000000"/>
          <w:sz w:val="18"/>
          <w:szCs w:val="18"/>
          <w:lang w:val="en-US"/>
        </w:rPr>
        <w:t> </w:t>
      </w:r>
      <w:bookmarkStart w:id="19" w:name="dc_4"/>
      <w:r w:rsidRPr="00C83577">
        <w:rPr>
          <w:rFonts w:ascii="Times New Roman" w:eastAsia="Times New Roman" w:hAnsi="Times New Roman" w:cs="Times New Roman"/>
          <w:noProof w:val="0"/>
          <w:color w:val="000000"/>
          <w:sz w:val="18"/>
          <w:szCs w:val="18"/>
          <w:lang w:val="en-US"/>
        </w:rPr>
        <w:t>Điều 12</w:t>
      </w:r>
      <w:bookmarkEnd w:id="19"/>
      <w:r w:rsidRPr="00C83577">
        <w:rPr>
          <w:rFonts w:ascii="Times New Roman" w:eastAsia="Times New Roman" w:hAnsi="Times New Roman" w:cs="Times New Roman"/>
          <w:noProof w:val="0"/>
          <w:color w:val="000000"/>
          <w:sz w:val="18"/>
          <w:szCs w:val="18"/>
          <w:lang w:val="en-US"/>
        </w:rPr>
        <w:t> </w:t>
      </w:r>
      <w:bookmarkStart w:id="20" w:name="khoan_4_1_name"/>
      <w:r w:rsidRPr="00C83577">
        <w:rPr>
          <w:rFonts w:ascii="Times New Roman" w:eastAsia="Times New Roman" w:hAnsi="Times New Roman" w:cs="Times New Roman"/>
          <w:noProof w:val="0"/>
          <w:color w:val="000000"/>
          <w:sz w:val="18"/>
          <w:szCs w:val="18"/>
          <w:lang w:val="en-US"/>
        </w:rPr>
        <w:t>như sau:</w:t>
      </w:r>
      <w:bookmarkEnd w:id="20"/>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1" w:name="diem_a_4_1"/>
      <w:r w:rsidRPr="00C83577">
        <w:rPr>
          <w:rFonts w:ascii="Times New Roman" w:eastAsia="Times New Roman" w:hAnsi="Times New Roman" w:cs="Times New Roman"/>
          <w:noProof w:val="0"/>
          <w:color w:val="000000"/>
          <w:sz w:val="18"/>
          <w:szCs w:val="18"/>
          <w:lang w:val="en-US"/>
        </w:rPr>
        <w:t>a) Sửa đổi</w:t>
      </w:r>
      <w:bookmarkEnd w:id="21"/>
      <w:r w:rsidRPr="00C83577">
        <w:rPr>
          <w:rFonts w:ascii="Times New Roman" w:eastAsia="Times New Roman" w:hAnsi="Times New Roman" w:cs="Times New Roman"/>
          <w:noProof w:val="0"/>
          <w:color w:val="000000"/>
          <w:sz w:val="18"/>
          <w:szCs w:val="18"/>
          <w:lang w:val="en-US"/>
        </w:rPr>
        <w:t> </w:t>
      </w:r>
      <w:bookmarkStart w:id="22" w:name="dc_5"/>
      <w:r w:rsidRPr="00C83577">
        <w:rPr>
          <w:rFonts w:ascii="Times New Roman" w:eastAsia="Times New Roman" w:hAnsi="Times New Roman" w:cs="Times New Roman"/>
          <w:noProof w:val="0"/>
          <w:color w:val="000000"/>
          <w:sz w:val="18"/>
          <w:szCs w:val="18"/>
          <w:lang w:val="en-US"/>
        </w:rPr>
        <w:t>điểm c khoản 1 Điều 12</w:t>
      </w:r>
      <w:bookmarkEnd w:id="22"/>
      <w:r w:rsidRPr="00C83577">
        <w:rPr>
          <w:rFonts w:ascii="Times New Roman" w:eastAsia="Times New Roman" w:hAnsi="Times New Roman" w:cs="Times New Roman"/>
          <w:noProof w:val="0"/>
          <w:color w:val="000000"/>
          <w:sz w:val="18"/>
          <w:szCs w:val="18"/>
          <w:lang w:val="en-US"/>
        </w:rPr>
        <w:t> </w:t>
      </w:r>
      <w:bookmarkStart w:id="23" w:name="diem_a_4_1_name"/>
      <w:r w:rsidRPr="00C83577">
        <w:rPr>
          <w:rFonts w:ascii="Times New Roman" w:eastAsia="Times New Roman" w:hAnsi="Times New Roman" w:cs="Times New Roman"/>
          <w:noProof w:val="0"/>
          <w:color w:val="000000"/>
          <w:sz w:val="18"/>
          <w:szCs w:val="18"/>
          <w:lang w:val="en-US"/>
        </w:rPr>
        <w:t>như sau:</w:t>
      </w:r>
      <w:bookmarkEnd w:id="23"/>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 Lấy mẫu hài cốt liệt sĩ: mức chi 50.000 đồng/01 mộ thực hiện lấy mẫu”.</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4" w:name="diem_b_4_1"/>
      <w:r w:rsidRPr="00C83577">
        <w:rPr>
          <w:rFonts w:ascii="Times New Roman" w:eastAsia="Times New Roman" w:hAnsi="Times New Roman" w:cs="Times New Roman"/>
          <w:noProof w:val="0"/>
          <w:color w:val="000000"/>
          <w:sz w:val="18"/>
          <w:szCs w:val="18"/>
          <w:lang w:val="en-US"/>
        </w:rPr>
        <w:t>b) Sửa đổi</w:t>
      </w:r>
      <w:bookmarkEnd w:id="24"/>
      <w:r w:rsidRPr="00C83577">
        <w:rPr>
          <w:rFonts w:ascii="Times New Roman" w:eastAsia="Times New Roman" w:hAnsi="Times New Roman" w:cs="Times New Roman"/>
          <w:noProof w:val="0"/>
          <w:color w:val="000000"/>
          <w:sz w:val="18"/>
          <w:szCs w:val="18"/>
          <w:lang w:val="en-US"/>
        </w:rPr>
        <w:t> </w:t>
      </w:r>
      <w:bookmarkStart w:id="25" w:name="dc_6"/>
      <w:r w:rsidRPr="00C83577">
        <w:rPr>
          <w:rFonts w:ascii="Times New Roman" w:eastAsia="Times New Roman" w:hAnsi="Times New Roman" w:cs="Times New Roman"/>
          <w:noProof w:val="0"/>
          <w:color w:val="000000"/>
          <w:sz w:val="18"/>
          <w:szCs w:val="18"/>
          <w:lang w:val="en-US"/>
        </w:rPr>
        <w:t>khoản 2 Điều 12</w:t>
      </w:r>
      <w:bookmarkEnd w:id="25"/>
      <w:r w:rsidRPr="00C83577">
        <w:rPr>
          <w:rFonts w:ascii="Times New Roman" w:eastAsia="Times New Roman" w:hAnsi="Times New Roman" w:cs="Times New Roman"/>
          <w:noProof w:val="0"/>
          <w:color w:val="000000"/>
          <w:sz w:val="18"/>
          <w:szCs w:val="18"/>
          <w:lang w:val="en-US"/>
        </w:rPr>
        <w:t> </w:t>
      </w:r>
      <w:bookmarkStart w:id="26" w:name="diem_b_4_1_name"/>
      <w:r w:rsidRPr="00C83577">
        <w:rPr>
          <w:rFonts w:ascii="Times New Roman" w:eastAsia="Times New Roman" w:hAnsi="Times New Roman" w:cs="Times New Roman"/>
          <w:noProof w:val="0"/>
          <w:color w:val="000000"/>
          <w:sz w:val="18"/>
          <w:szCs w:val="18"/>
          <w:lang w:val="en-US"/>
        </w:rPr>
        <w:t>như sau:</w:t>
      </w:r>
      <w:bookmarkEnd w:id="26"/>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 Lấy mẫu để đối chứng ADN theo dòng mẹ của liệt sĩ (sau đây gọi chung là mẫu đối chứng thân nhân liệt sĩ):</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Cơ quan, đơn vị tổ chức đi lấy mẫu đối chứng thân nhân liệt sĩ: nội dung chi được thực hiện theo quy định tại điểm b khoản 1 Điều này; hỗ trợ người thuộc diện được lấy mẫu đối chứng thân nhân liệt sĩ: mức hỗ trợ 500.000 đồng/người”.</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27" w:name="diem_c_4_1"/>
      <w:r w:rsidRPr="00C83577">
        <w:rPr>
          <w:rFonts w:ascii="Times New Roman" w:eastAsia="Times New Roman" w:hAnsi="Times New Roman" w:cs="Times New Roman"/>
          <w:noProof w:val="0"/>
          <w:color w:val="000000"/>
          <w:sz w:val="18"/>
          <w:szCs w:val="18"/>
          <w:lang w:val="en-US"/>
        </w:rPr>
        <w:t>c) Sửa đổi</w:t>
      </w:r>
      <w:bookmarkEnd w:id="27"/>
      <w:r w:rsidRPr="00C83577">
        <w:rPr>
          <w:rFonts w:ascii="Times New Roman" w:eastAsia="Times New Roman" w:hAnsi="Times New Roman" w:cs="Times New Roman"/>
          <w:noProof w:val="0"/>
          <w:color w:val="000000"/>
          <w:sz w:val="18"/>
          <w:szCs w:val="18"/>
          <w:lang w:val="en-US"/>
        </w:rPr>
        <w:t> </w:t>
      </w:r>
      <w:bookmarkStart w:id="28" w:name="dc_7"/>
      <w:r w:rsidRPr="00C83577">
        <w:rPr>
          <w:rFonts w:ascii="Times New Roman" w:eastAsia="Times New Roman" w:hAnsi="Times New Roman" w:cs="Times New Roman"/>
          <w:noProof w:val="0"/>
          <w:color w:val="000000"/>
          <w:sz w:val="18"/>
          <w:szCs w:val="18"/>
          <w:lang w:val="en-US"/>
        </w:rPr>
        <w:t>khoản 3 Điều 12</w:t>
      </w:r>
      <w:bookmarkEnd w:id="28"/>
      <w:r w:rsidRPr="00C83577">
        <w:rPr>
          <w:rFonts w:ascii="Times New Roman" w:eastAsia="Times New Roman" w:hAnsi="Times New Roman" w:cs="Times New Roman"/>
          <w:noProof w:val="0"/>
          <w:color w:val="000000"/>
          <w:sz w:val="18"/>
          <w:szCs w:val="18"/>
          <w:lang w:val="en-US"/>
        </w:rPr>
        <w:t> </w:t>
      </w:r>
      <w:bookmarkStart w:id="29" w:name="diem_c_4_1_name"/>
      <w:r w:rsidRPr="00C83577">
        <w:rPr>
          <w:rFonts w:ascii="Times New Roman" w:eastAsia="Times New Roman" w:hAnsi="Times New Roman" w:cs="Times New Roman"/>
          <w:noProof w:val="0"/>
          <w:color w:val="000000"/>
          <w:sz w:val="18"/>
          <w:szCs w:val="18"/>
          <w:lang w:val="en-US"/>
        </w:rPr>
        <w:t>như sau:</w:t>
      </w:r>
      <w:bookmarkEnd w:id="29"/>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“3. Bảo quản mẫu hài cốt liệt sĩ, mẫu đối chứng thân nhân liệt sĩ còn thiếu thông tin ở dạng thô trong thời gian chờ giám định ADN tại các cơ sở giám định ADN: Mức chi 500 đồng/01 mẫu/01 ngày”.</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30" w:name="diem_d_4_1"/>
      <w:r w:rsidRPr="00C83577">
        <w:rPr>
          <w:rFonts w:ascii="Times New Roman" w:eastAsia="Times New Roman" w:hAnsi="Times New Roman" w:cs="Times New Roman"/>
          <w:noProof w:val="0"/>
          <w:color w:val="000000"/>
          <w:sz w:val="18"/>
          <w:szCs w:val="18"/>
          <w:lang w:val="en-US"/>
        </w:rPr>
        <w:t>d) Sửa đổi, bổ sung</w:t>
      </w:r>
      <w:bookmarkEnd w:id="30"/>
      <w:r w:rsidRPr="00C83577">
        <w:rPr>
          <w:rFonts w:ascii="Times New Roman" w:eastAsia="Times New Roman" w:hAnsi="Times New Roman" w:cs="Times New Roman"/>
          <w:noProof w:val="0"/>
          <w:color w:val="000000"/>
          <w:sz w:val="18"/>
          <w:szCs w:val="18"/>
          <w:lang w:val="en-US"/>
        </w:rPr>
        <w:t> </w:t>
      </w:r>
      <w:bookmarkStart w:id="31" w:name="dc_8"/>
      <w:r w:rsidRPr="00C83577">
        <w:rPr>
          <w:rFonts w:ascii="Times New Roman" w:eastAsia="Times New Roman" w:hAnsi="Times New Roman" w:cs="Times New Roman"/>
          <w:noProof w:val="0"/>
          <w:color w:val="000000"/>
          <w:sz w:val="18"/>
          <w:szCs w:val="18"/>
          <w:lang w:val="en-US"/>
        </w:rPr>
        <w:t>khoản 4 Điều 12</w:t>
      </w:r>
      <w:bookmarkEnd w:id="31"/>
      <w:r w:rsidRPr="00C83577">
        <w:rPr>
          <w:rFonts w:ascii="Times New Roman" w:eastAsia="Times New Roman" w:hAnsi="Times New Roman" w:cs="Times New Roman"/>
          <w:noProof w:val="0"/>
          <w:color w:val="000000"/>
          <w:sz w:val="18"/>
          <w:szCs w:val="18"/>
          <w:lang w:val="en-US"/>
        </w:rPr>
        <w:t> </w:t>
      </w:r>
      <w:bookmarkStart w:id="32" w:name="diem_d_4_1_name"/>
      <w:r w:rsidRPr="00C83577">
        <w:rPr>
          <w:rFonts w:ascii="Times New Roman" w:eastAsia="Times New Roman" w:hAnsi="Times New Roman" w:cs="Times New Roman"/>
          <w:noProof w:val="0"/>
          <w:color w:val="000000"/>
          <w:sz w:val="18"/>
          <w:szCs w:val="18"/>
          <w:lang w:val="en-US"/>
        </w:rPr>
        <w:t>như sau:</w:t>
      </w:r>
      <w:bookmarkEnd w:id="32"/>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 Xác định danh tính hài cốt liệt sĩ còn thiếu thông tin bằng phương pháp giám định ADN: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a) Giám định ADN xác định danh tính hài cốt liệt sĩ còn thiếu thông tin là dịch vụ sự nghiệp công sử dụng kinh phí ngân sách nhà nước thuộc lĩnh vực sự nghiệp đảm bảo xã hội được thực hiện bằng phương thức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 Mẫu thực hiện giám định ADN xác định danh tính hài cốt liệt sĩ còn thiếu thông tin bao gồm: mẫu hài cốt liệt sĩ và mẫu đối chứng thân nhân liệt sĩ.</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 Điều kiện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Đặt hàng cung cấp dịch vụ giám định ADN xác định danh tính hài cốt liệt sĩ còn thiếu thông tin với các nhà cung cấp dịch vụ giám định ADN xác định danh tính hài cốt liệt sĩ còn thiếu thông tin (sau đây gọi tắt là nhà cung cấp dịch vụ giám định ADN) khi đáp ứng đồng thời các điều kiện sau:</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Nhà cung cấp dịch vụ giám định ADN: là các đơn vị sự nghiệp công lập thuộc các bộ, ngành, cơ quan thuộc Chính phủ, các doanh nghiệp thuộc mọi thành phần kinh tế, các tổ chức, đơn vị có tư cách pháp nhân, có chức năng cung cấp dịch vụ giám định ADN được Bộ Lao động - Thương binh và Xã hội lựa chọn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Dịch vụ giám định ADN hài cốt liệt sĩ và mẫu sinh phẩm thân nhân liệt sĩ có định mức kinh tế kỹ thuật và đơn giá, giá dịch vụ sự nghiệp công do cơ quan có thẩm quyền ban hành làm cơ sở để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d) Phương thức thực hiện: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Bộ trưởng Bộ Lao động - Thương binh và Xã hội quyết định đặt hàng dịch vụ giám định ADN xác định danh tính hài cốt liệt sĩ còn thiếu thông tin với các nhà cung cấp dịch vụ giám định ADN.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Căn cứ Quyết định đặt hàng được Bộ trưởng Bộ Lao động - Thương binh và Xã hội phê duyệt, Cục Người có công (Bộ Lao động - Thương binh và Xã hội) ký Hợp đồng đặt hàng cung cấp dịch vụ giám định ADN với các nhà cung cấp dịch vụ giám định ADN.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đ) Đơn giá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Bộ trưởng Bộ Tài chính ban hành đơn giá tối đa dịch vụ giám định AND xác định danh tính hài cốt liệt sĩ còn thiếu thông tin.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Bộ trưởng Bộ Lao động - Thương binh và Xã hội ban hành định mức kinh tế - kỹ thuật, định mức chi phí thực hiện dịch vụ giám định ADN xác định danh tính hài cốt liệt sĩ còn thiếu thông tin; quyết định đơn giá đặt hàng đảm bảo không vượt giá tối đa do Bộ trưởng Bộ Tài chính quy định.</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e) Nội dung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Số lượng mẫu thực hiện đặt hàng giám định ADN;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Chất lượng dịch vụ giám định ADN;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Thời gian triển khai và thời gian hoàn thành;</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Đơn giá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Giá trị hợp đồng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Nguồn kinh phí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Phương thức thanh toán, quyết toán;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Phương thức nghiệm thu, bàn giao sản phẩm;</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Quyền và nghĩa vụ của đơn vị cung cấp dịch vụ giám định ADN;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Quyền và nghĩa vụ của cơ quan đặt hàng;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Các nội dung khác không trái với quy định của pháp luật”.</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33" w:name="diem_dd_4_1"/>
      <w:r w:rsidRPr="00C83577">
        <w:rPr>
          <w:rFonts w:ascii="Times New Roman" w:eastAsia="Times New Roman" w:hAnsi="Times New Roman" w:cs="Times New Roman"/>
          <w:noProof w:val="0"/>
          <w:color w:val="000000"/>
          <w:sz w:val="18"/>
          <w:szCs w:val="18"/>
          <w:lang w:val="en-US"/>
        </w:rPr>
        <w:t>đ) Sửa đổi</w:t>
      </w:r>
      <w:bookmarkEnd w:id="33"/>
      <w:r w:rsidRPr="00C83577">
        <w:rPr>
          <w:rFonts w:ascii="Times New Roman" w:eastAsia="Times New Roman" w:hAnsi="Times New Roman" w:cs="Times New Roman"/>
          <w:noProof w:val="0"/>
          <w:color w:val="000000"/>
          <w:sz w:val="18"/>
          <w:szCs w:val="18"/>
          <w:lang w:val="en-US"/>
        </w:rPr>
        <w:t> </w:t>
      </w:r>
      <w:bookmarkStart w:id="34" w:name="dc_9"/>
      <w:r w:rsidRPr="00C83577">
        <w:rPr>
          <w:rFonts w:ascii="Times New Roman" w:eastAsia="Times New Roman" w:hAnsi="Times New Roman" w:cs="Times New Roman"/>
          <w:noProof w:val="0"/>
          <w:color w:val="000000"/>
          <w:sz w:val="18"/>
          <w:szCs w:val="18"/>
          <w:lang w:val="en-US"/>
        </w:rPr>
        <w:t>khoản 7 Điều 12</w:t>
      </w:r>
      <w:bookmarkEnd w:id="34"/>
      <w:r w:rsidRPr="00C83577">
        <w:rPr>
          <w:rFonts w:ascii="Times New Roman" w:eastAsia="Times New Roman" w:hAnsi="Times New Roman" w:cs="Times New Roman"/>
          <w:noProof w:val="0"/>
          <w:color w:val="000000"/>
          <w:sz w:val="18"/>
          <w:szCs w:val="18"/>
          <w:lang w:val="en-US"/>
        </w:rPr>
        <w:t> </w:t>
      </w:r>
      <w:bookmarkStart w:id="35" w:name="diem_dd_4_1_name"/>
      <w:r w:rsidRPr="00C83577">
        <w:rPr>
          <w:rFonts w:ascii="Times New Roman" w:eastAsia="Times New Roman" w:hAnsi="Times New Roman" w:cs="Times New Roman"/>
          <w:noProof w:val="0"/>
          <w:color w:val="000000"/>
          <w:sz w:val="18"/>
          <w:szCs w:val="18"/>
          <w:lang w:val="en-US"/>
        </w:rPr>
        <w:t>như sau:</w:t>
      </w:r>
      <w:bookmarkEnd w:id="35"/>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 Vận chuyển mẫu hài cốt liệt sĩ còn thiếu thông tin và mẫu đối chứng thân nhân liệt sĩ còn thiếu thông tin thanh toán theo thực tế”.</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36" w:name="khoan_5_1"/>
      <w:r w:rsidRPr="00C83577">
        <w:rPr>
          <w:rFonts w:ascii="Times New Roman" w:eastAsia="Times New Roman" w:hAnsi="Times New Roman" w:cs="Times New Roman"/>
          <w:noProof w:val="0"/>
          <w:color w:val="000000"/>
          <w:sz w:val="18"/>
          <w:szCs w:val="18"/>
          <w:lang w:val="en-US"/>
        </w:rPr>
        <w:t>5. Sửa đổi, bổ sung một số điểm, khoản của</w:t>
      </w:r>
      <w:bookmarkEnd w:id="36"/>
      <w:r w:rsidRPr="00C83577">
        <w:rPr>
          <w:rFonts w:ascii="Times New Roman" w:eastAsia="Times New Roman" w:hAnsi="Times New Roman" w:cs="Times New Roman"/>
          <w:noProof w:val="0"/>
          <w:color w:val="000000"/>
          <w:sz w:val="18"/>
          <w:szCs w:val="18"/>
          <w:lang w:val="en-US"/>
        </w:rPr>
        <w:t> </w:t>
      </w:r>
      <w:bookmarkStart w:id="37" w:name="dc_10"/>
      <w:r w:rsidRPr="00C83577">
        <w:rPr>
          <w:rFonts w:ascii="Times New Roman" w:eastAsia="Times New Roman" w:hAnsi="Times New Roman" w:cs="Times New Roman"/>
          <w:noProof w:val="0"/>
          <w:color w:val="000000"/>
          <w:sz w:val="18"/>
          <w:szCs w:val="18"/>
          <w:lang w:val="en-US"/>
        </w:rPr>
        <w:t>Điều 13</w:t>
      </w:r>
      <w:bookmarkEnd w:id="37"/>
      <w:r w:rsidRPr="00C83577">
        <w:rPr>
          <w:rFonts w:ascii="Times New Roman" w:eastAsia="Times New Roman" w:hAnsi="Times New Roman" w:cs="Times New Roman"/>
          <w:noProof w:val="0"/>
          <w:color w:val="000000"/>
          <w:sz w:val="18"/>
          <w:szCs w:val="18"/>
          <w:lang w:val="en-US"/>
        </w:rPr>
        <w:t> </w:t>
      </w:r>
      <w:bookmarkStart w:id="38" w:name="khoan_5_1_name"/>
      <w:r w:rsidRPr="00C83577">
        <w:rPr>
          <w:rFonts w:ascii="Times New Roman" w:eastAsia="Times New Roman" w:hAnsi="Times New Roman" w:cs="Times New Roman"/>
          <w:noProof w:val="0"/>
          <w:color w:val="000000"/>
          <w:sz w:val="18"/>
          <w:szCs w:val="18"/>
          <w:lang w:val="en-US"/>
        </w:rPr>
        <w:t>như sau:</w:t>
      </w:r>
      <w:bookmarkEnd w:id="38"/>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39" w:name="diem_a_5_1"/>
      <w:r w:rsidRPr="00C83577">
        <w:rPr>
          <w:rFonts w:ascii="Times New Roman" w:eastAsia="Times New Roman" w:hAnsi="Times New Roman" w:cs="Times New Roman"/>
          <w:noProof w:val="0"/>
          <w:color w:val="000000"/>
          <w:sz w:val="18"/>
          <w:szCs w:val="18"/>
          <w:lang w:val="en-US"/>
        </w:rPr>
        <w:t>a) Sửa đổi, bổ sung</w:t>
      </w:r>
      <w:bookmarkEnd w:id="39"/>
      <w:r w:rsidRPr="00C83577">
        <w:rPr>
          <w:rFonts w:ascii="Times New Roman" w:eastAsia="Times New Roman" w:hAnsi="Times New Roman" w:cs="Times New Roman"/>
          <w:noProof w:val="0"/>
          <w:color w:val="000000"/>
          <w:sz w:val="18"/>
          <w:szCs w:val="18"/>
          <w:lang w:val="en-US"/>
        </w:rPr>
        <w:t> </w:t>
      </w:r>
      <w:bookmarkStart w:id="40" w:name="dc_11"/>
      <w:r w:rsidRPr="00C83577">
        <w:rPr>
          <w:rFonts w:ascii="Times New Roman" w:eastAsia="Times New Roman" w:hAnsi="Times New Roman" w:cs="Times New Roman"/>
          <w:noProof w:val="0"/>
          <w:color w:val="000000"/>
          <w:sz w:val="18"/>
          <w:szCs w:val="18"/>
          <w:lang w:val="en-US"/>
        </w:rPr>
        <w:t>điểm a khoản 4 Điều 13</w:t>
      </w:r>
      <w:bookmarkEnd w:id="40"/>
      <w:r w:rsidRPr="00C83577">
        <w:rPr>
          <w:rFonts w:ascii="Times New Roman" w:eastAsia="Times New Roman" w:hAnsi="Times New Roman" w:cs="Times New Roman"/>
          <w:noProof w:val="0"/>
          <w:color w:val="000000"/>
          <w:sz w:val="18"/>
          <w:szCs w:val="18"/>
          <w:lang w:val="en-US"/>
        </w:rPr>
        <w:t> </w:t>
      </w:r>
      <w:bookmarkStart w:id="41" w:name="diem_a_5_1_name"/>
      <w:r w:rsidRPr="00C83577">
        <w:rPr>
          <w:rFonts w:ascii="Times New Roman" w:eastAsia="Times New Roman" w:hAnsi="Times New Roman" w:cs="Times New Roman"/>
          <w:noProof w:val="0"/>
          <w:color w:val="000000"/>
          <w:sz w:val="18"/>
          <w:szCs w:val="18"/>
          <w:lang w:val="en-US"/>
        </w:rPr>
        <w:t>như sau:</w:t>
      </w:r>
      <w:bookmarkEnd w:id="41"/>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“a) Hỗ trợ thuốc, điều trị và bồi dưỡng phục hồi sức khỏe tại cơ sở nuôi dưỡng, mức tối đa 8.500.000 đồng/01 người/01 năm. Hình thức hỗ trợ bồi dưỡng phục hồi sức khỏe do Giám đốc các cơ sở nuôi dưỡng quyết định phù hợp với tình trạng sức khỏe của người có công và đặc thù của đơn vị (bao gồm cả chi bồi dưỡng phục hồi sức khỏe khi đối tượng đi điều trị tại cơ sở y tế)”.</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42" w:name="diem_b_5_1"/>
      <w:r w:rsidRPr="00C83577">
        <w:rPr>
          <w:rFonts w:ascii="Times New Roman" w:eastAsia="Times New Roman" w:hAnsi="Times New Roman" w:cs="Times New Roman"/>
          <w:noProof w:val="0"/>
          <w:color w:val="000000"/>
          <w:sz w:val="18"/>
          <w:szCs w:val="18"/>
          <w:lang w:val="en-US"/>
        </w:rPr>
        <w:t>b) Sửa đổi, bổ sung</w:t>
      </w:r>
      <w:bookmarkEnd w:id="42"/>
      <w:r w:rsidRPr="00C83577">
        <w:rPr>
          <w:rFonts w:ascii="Times New Roman" w:eastAsia="Times New Roman" w:hAnsi="Times New Roman" w:cs="Times New Roman"/>
          <w:noProof w:val="0"/>
          <w:color w:val="000000"/>
          <w:sz w:val="18"/>
          <w:szCs w:val="18"/>
          <w:lang w:val="en-US"/>
        </w:rPr>
        <w:t> </w:t>
      </w:r>
      <w:bookmarkStart w:id="43" w:name="dc_12"/>
      <w:r w:rsidRPr="00C83577">
        <w:rPr>
          <w:rFonts w:ascii="Times New Roman" w:eastAsia="Times New Roman" w:hAnsi="Times New Roman" w:cs="Times New Roman"/>
          <w:noProof w:val="0"/>
          <w:color w:val="000000"/>
          <w:sz w:val="18"/>
          <w:szCs w:val="18"/>
          <w:lang w:val="en-US"/>
        </w:rPr>
        <w:t>khoản 5 Điều 13</w:t>
      </w:r>
      <w:bookmarkEnd w:id="43"/>
      <w:r w:rsidRPr="00C83577">
        <w:rPr>
          <w:rFonts w:ascii="Times New Roman" w:eastAsia="Times New Roman" w:hAnsi="Times New Roman" w:cs="Times New Roman"/>
          <w:noProof w:val="0"/>
          <w:color w:val="000000"/>
          <w:sz w:val="18"/>
          <w:szCs w:val="18"/>
          <w:lang w:val="en-US"/>
        </w:rPr>
        <w:t> </w:t>
      </w:r>
      <w:bookmarkStart w:id="44" w:name="diem_b_5_1_name"/>
      <w:r w:rsidRPr="00C83577">
        <w:rPr>
          <w:rFonts w:ascii="Times New Roman" w:eastAsia="Times New Roman" w:hAnsi="Times New Roman" w:cs="Times New Roman"/>
          <w:noProof w:val="0"/>
          <w:color w:val="000000"/>
          <w:sz w:val="18"/>
          <w:szCs w:val="18"/>
          <w:lang w:val="en-US"/>
        </w:rPr>
        <w:t>như sau:</w:t>
      </w:r>
      <w:bookmarkEnd w:id="44"/>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 Hỗ trợ phục vụ công tác nuôi dưỡng người có công tại các cơ sở nuôi dưỡng do ngành Lao động - Thương binh và Xã hội quản lý để đảm bảo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Mức hỗ trợ phục vụ công tác nuôi dưỡng tối đa 8.000.000 đồng/01 đối tượng/01 năm”.</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45" w:name="diem_c_5_1"/>
      <w:r w:rsidRPr="00C83577">
        <w:rPr>
          <w:rFonts w:ascii="Times New Roman" w:eastAsia="Times New Roman" w:hAnsi="Times New Roman" w:cs="Times New Roman"/>
          <w:noProof w:val="0"/>
          <w:color w:val="000000"/>
          <w:sz w:val="18"/>
          <w:szCs w:val="18"/>
          <w:lang w:val="en-US"/>
        </w:rPr>
        <w:t>c) Sửa đổi, bổ sung</w:t>
      </w:r>
      <w:bookmarkEnd w:id="45"/>
      <w:r w:rsidRPr="00C83577">
        <w:rPr>
          <w:rFonts w:ascii="Times New Roman" w:eastAsia="Times New Roman" w:hAnsi="Times New Roman" w:cs="Times New Roman"/>
          <w:noProof w:val="0"/>
          <w:color w:val="000000"/>
          <w:sz w:val="18"/>
          <w:szCs w:val="18"/>
          <w:lang w:val="en-US"/>
        </w:rPr>
        <w:t> </w:t>
      </w:r>
      <w:bookmarkStart w:id="46" w:name="dc_13"/>
      <w:r w:rsidRPr="00C83577">
        <w:rPr>
          <w:rFonts w:ascii="Times New Roman" w:eastAsia="Times New Roman" w:hAnsi="Times New Roman" w:cs="Times New Roman"/>
          <w:noProof w:val="0"/>
          <w:color w:val="000000"/>
          <w:sz w:val="18"/>
          <w:szCs w:val="18"/>
          <w:lang w:val="en-US"/>
        </w:rPr>
        <w:t>khoản 6 Điều 13</w:t>
      </w:r>
      <w:bookmarkEnd w:id="46"/>
      <w:r w:rsidRPr="00C83577">
        <w:rPr>
          <w:rFonts w:ascii="Times New Roman" w:eastAsia="Times New Roman" w:hAnsi="Times New Roman" w:cs="Times New Roman"/>
          <w:noProof w:val="0"/>
          <w:color w:val="000000"/>
          <w:sz w:val="18"/>
          <w:szCs w:val="18"/>
          <w:lang w:val="en-US"/>
        </w:rPr>
        <w:t> </w:t>
      </w:r>
      <w:bookmarkStart w:id="47" w:name="diem_c_5_1_name"/>
      <w:r w:rsidRPr="00C83577">
        <w:rPr>
          <w:rFonts w:ascii="Times New Roman" w:eastAsia="Times New Roman" w:hAnsi="Times New Roman" w:cs="Times New Roman"/>
          <w:noProof w:val="0"/>
          <w:color w:val="000000"/>
          <w:sz w:val="18"/>
          <w:szCs w:val="18"/>
          <w:lang w:val="en-US"/>
        </w:rPr>
        <w:t>như sau:</w:t>
      </w:r>
      <w:bookmarkEnd w:id="47"/>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 Hỗ trợ phục vụ công tác điều dưỡng, đón tiếp người có công tại các cơ sở điều dưỡng, đón tiếp do ngành Lao động - Thương binh và Xã hội quản lý để đảm bảo các khoản chi phí như quy định tại khoản 5 Điều này được thanh toán theo số lượng đối tượng được điều dưỡng, đón tiếp thực tế. Mức hỗ trợ tối đa 500.000 đồng/01 người/01 lượt điều dưỡng, đón tiếp. Trường hợp các địa phương chưa có cơ sở điều dưỡng thì cơ quan Lao động - Thương binh và Xã hội được phép sử dụng kinh phí này để thuê các cơ sở lưu trú đủ tiêu chuẩn (theo tiêu chuẩn của khách sạn từ 3 sao trở lên) thực hiện điều dưỡng tập trung”.</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48" w:name="diem_d_5_1"/>
      <w:r w:rsidRPr="00C83577">
        <w:rPr>
          <w:rFonts w:ascii="Times New Roman" w:eastAsia="Times New Roman" w:hAnsi="Times New Roman" w:cs="Times New Roman"/>
          <w:noProof w:val="0"/>
          <w:color w:val="000000"/>
          <w:sz w:val="18"/>
          <w:szCs w:val="18"/>
          <w:lang w:val="en-US"/>
        </w:rPr>
        <w:t>d) Sửa đổi, bổ sung</w:t>
      </w:r>
      <w:bookmarkEnd w:id="48"/>
      <w:r w:rsidRPr="00C83577">
        <w:rPr>
          <w:rFonts w:ascii="Times New Roman" w:eastAsia="Times New Roman" w:hAnsi="Times New Roman" w:cs="Times New Roman"/>
          <w:noProof w:val="0"/>
          <w:color w:val="000000"/>
          <w:sz w:val="18"/>
          <w:szCs w:val="18"/>
          <w:lang w:val="en-US"/>
        </w:rPr>
        <w:t> </w:t>
      </w:r>
      <w:bookmarkStart w:id="49" w:name="dc_14"/>
      <w:r w:rsidRPr="00C83577">
        <w:rPr>
          <w:rFonts w:ascii="Times New Roman" w:eastAsia="Times New Roman" w:hAnsi="Times New Roman" w:cs="Times New Roman"/>
          <w:noProof w:val="0"/>
          <w:color w:val="000000"/>
          <w:sz w:val="18"/>
          <w:szCs w:val="18"/>
          <w:lang w:val="en-US"/>
        </w:rPr>
        <w:t>khoản 7 Điều 13</w:t>
      </w:r>
      <w:bookmarkEnd w:id="49"/>
      <w:r w:rsidRPr="00C83577">
        <w:rPr>
          <w:rFonts w:ascii="Times New Roman" w:eastAsia="Times New Roman" w:hAnsi="Times New Roman" w:cs="Times New Roman"/>
          <w:noProof w:val="0"/>
          <w:color w:val="000000"/>
          <w:sz w:val="18"/>
          <w:szCs w:val="18"/>
          <w:lang w:val="en-US"/>
        </w:rPr>
        <w:t> </w:t>
      </w:r>
      <w:bookmarkStart w:id="50" w:name="diem_d_5_1_name"/>
      <w:r w:rsidRPr="00C83577">
        <w:rPr>
          <w:rFonts w:ascii="Times New Roman" w:eastAsia="Times New Roman" w:hAnsi="Times New Roman" w:cs="Times New Roman"/>
          <w:noProof w:val="0"/>
          <w:color w:val="000000"/>
          <w:sz w:val="18"/>
          <w:szCs w:val="18"/>
          <w:lang w:val="en-US"/>
        </w:rPr>
        <w:t>như sau:</w:t>
      </w:r>
      <w:bookmarkEnd w:id="50"/>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 Người có công đang nuôi dưỡng tại cơ sở về thăm gia đình mà tự túc phương tiện vận chuyển thì được hỗ trợ tối đa 01 lần/01 năm (bao gồm tiền đi lại và tiền ăn) cho bản thân đối tượng và 01 người thân đi cùng (nếu có) từ cơ sở nuôi dưỡng đến gia đình, quê quán người có công và theo chiều ngược lại:</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Hỗ trợ thanh toán theo hóa đơn, bao gồm vé phương tiện vận tải hành khách công cộng, chứng từ hợp pháp hoặc giấy biên nhận theo quy định của pháp luật; giá vé không bao gồm các chi phí dịch vụ khác như tham quan du lịch, các dịch vụ đặc biệt theo yêu cầu; đối với phương tiện máy bay thì được thanh toán tối đa theo giá vé hạng phổ thông tiêu chuẩn và tiền cước hành lý (nếu giá vé chưa bao gồm cước hành lý) theo đơn giá cước hành lý của chuyến đi và khối lượng hành lý nhưng không vượt quá khối lượng hành lý được mang theo của loại vé thông thường khác; hỗ trợ tiền ăn 100.000 đồng/người/lượt.</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Trường hợp đối tượng nhận hỗ trợ theo hình thức khoán thì được hỗ trợ với mức 3.000 đồng/km/người theo quãng đường nhưng tối đa không quá 5.000.000 đồng/đối tượng và người thân/năm”.</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51" w:name="diem_dd_5_1"/>
      <w:r w:rsidRPr="00C83577">
        <w:rPr>
          <w:rFonts w:ascii="Times New Roman" w:eastAsia="Times New Roman" w:hAnsi="Times New Roman" w:cs="Times New Roman"/>
          <w:noProof w:val="0"/>
          <w:color w:val="000000"/>
          <w:sz w:val="18"/>
          <w:szCs w:val="18"/>
          <w:lang w:val="en-US"/>
        </w:rPr>
        <w:t>đ) Sửa đổi, bổ sung</w:t>
      </w:r>
      <w:bookmarkEnd w:id="51"/>
      <w:r w:rsidRPr="00C83577">
        <w:rPr>
          <w:rFonts w:ascii="Times New Roman" w:eastAsia="Times New Roman" w:hAnsi="Times New Roman" w:cs="Times New Roman"/>
          <w:noProof w:val="0"/>
          <w:color w:val="000000"/>
          <w:sz w:val="18"/>
          <w:szCs w:val="18"/>
          <w:lang w:val="en-US"/>
        </w:rPr>
        <w:t> </w:t>
      </w:r>
      <w:bookmarkStart w:id="52" w:name="dc_15"/>
      <w:r w:rsidRPr="00C83577">
        <w:rPr>
          <w:rFonts w:ascii="Times New Roman" w:eastAsia="Times New Roman" w:hAnsi="Times New Roman" w:cs="Times New Roman"/>
          <w:noProof w:val="0"/>
          <w:color w:val="000000"/>
          <w:sz w:val="18"/>
          <w:szCs w:val="18"/>
          <w:lang w:val="en-US"/>
        </w:rPr>
        <w:t>điểm a khoản 10 Điều 13</w:t>
      </w:r>
      <w:bookmarkEnd w:id="52"/>
      <w:r w:rsidRPr="00C83577">
        <w:rPr>
          <w:rFonts w:ascii="Times New Roman" w:eastAsia="Times New Roman" w:hAnsi="Times New Roman" w:cs="Times New Roman"/>
          <w:noProof w:val="0"/>
          <w:color w:val="000000"/>
          <w:sz w:val="18"/>
          <w:szCs w:val="18"/>
          <w:lang w:val="en-US"/>
        </w:rPr>
        <w:t> </w:t>
      </w:r>
      <w:bookmarkStart w:id="53" w:name="diem_dd_5_1_name"/>
      <w:r w:rsidRPr="00C83577">
        <w:rPr>
          <w:rFonts w:ascii="Times New Roman" w:eastAsia="Times New Roman" w:hAnsi="Times New Roman" w:cs="Times New Roman"/>
          <w:noProof w:val="0"/>
          <w:color w:val="000000"/>
          <w:sz w:val="18"/>
          <w:szCs w:val="18"/>
          <w:lang w:val="en-US"/>
        </w:rPr>
        <w:t>như sau:</w:t>
      </w:r>
      <w:bookmarkEnd w:id="53"/>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“a) Hỗ trợ cải tạo, nâng cấp, sửa chữa, bảo trì cơ sở vật chất theo dự án hoặc báo cáo kinh tế kỹ thuật được cơ quan có thẩm quyền phê duyệt. Mức hỗ trợ tối đa không vượt quá 15 tỷ đồng/công trình, trong đó hỗ trợ tối đa 100% giá trị công trình đối với các cơ sở nuôi dưỡng, điều dưỡng do trung ương và các địa phương chưa tự cân đối ngân sách quản lý, hỗ trợ tối đa 70% tổng giá trị công trình được cơ quan có thẩm quyền phê duyệt đối với các cơ sở nuôi dưỡng, điều dưỡng do địa phương tự cân đối ngân sách quản lý”.</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54" w:name="diem_e_5_1"/>
      <w:r w:rsidRPr="00C83577">
        <w:rPr>
          <w:rFonts w:ascii="Times New Roman" w:eastAsia="Times New Roman" w:hAnsi="Times New Roman" w:cs="Times New Roman"/>
          <w:noProof w:val="0"/>
          <w:color w:val="000000"/>
          <w:sz w:val="18"/>
          <w:szCs w:val="18"/>
          <w:lang w:val="en-US"/>
        </w:rPr>
        <w:t>e) Sửa đổi</w:t>
      </w:r>
      <w:bookmarkEnd w:id="54"/>
      <w:r w:rsidRPr="00C83577">
        <w:rPr>
          <w:rFonts w:ascii="Times New Roman" w:eastAsia="Times New Roman" w:hAnsi="Times New Roman" w:cs="Times New Roman"/>
          <w:noProof w:val="0"/>
          <w:color w:val="000000"/>
          <w:sz w:val="18"/>
          <w:szCs w:val="18"/>
          <w:lang w:val="en-US"/>
        </w:rPr>
        <w:t> </w:t>
      </w:r>
      <w:bookmarkStart w:id="55" w:name="dc_16"/>
      <w:r w:rsidRPr="00C83577">
        <w:rPr>
          <w:rFonts w:ascii="Times New Roman" w:eastAsia="Times New Roman" w:hAnsi="Times New Roman" w:cs="Times New Roman"/>
          <w:noProof w:val="0"/>
          <w:color w:val="000000"/>
          <w:sz w:val="18"/>
          <w:szCs w:val="18"/>
          <w:lang w:val="en-US"/>
        </w:rPr>
        <w:t>khoản 11 Điều 13</w:t>
      </w:r>
      <w:bookmarkEnd w:id="55"/>
      <w:r w:rsidRPr="00C83577">
        <w:rPr>
          <w:rFonts w:ascii="Times New Roman" w:eastAsia="Times New Roman" w:hAnsi="Times New Roman" w:cs="Times New Roman"/>
          <w:noProof w:val="0"/>
          <w:color w:val="000000"/>
          <w:sz w:val="18"/>
          <w:szCs w:val="18"/>
          <w:lang w:val="en-US"/>
        </w:rPr>
        <w:t> </w:t>
      </w:r>
      <w:bookmarkStart w:id="56" w:name="diem_e_5_1_name"/>
      <w:r w:rsidRPr="00C83577">
        <w:rPr>
          <w:rFonts w:ascii="Times New Roman" w:eastAsia="Times New Roman" w:hAnsi="Times New Roman" w:cs="Times New Roman"/>
          <w:noProof w:val="0"/>
          <w:color w:val="000000"/>
          <w:sz w:val="18"/>
          <w:szCs w:val="18"/>
          <w:lang w:val="en-US"/>
        </w:rPr>
        <w:t>như sau:</w:t>
      </w:r>
      <w:bookmarkEnd w:id="56"/>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 Chế độ tặng quà đối với các cơ sở nuôi dưỡng người có công, người có công và gia đình người có công: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a) Quà tặng của lãnh đạo Đảng, Nhà nước, Quốc hội, Chủ tịch Ủy ban trung ương Mặt trận Tổ quốc Việt Nam:</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Mức quà tặng đối với tập thể: Tiền mặt là 5.000.000 đồng/tập thể, hiện vật trị giá 500.000 đồng/tập thể.</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Mức quà tặng đối với gia đình, cá nhân: Tiền mặt là 1.000.000 đồng/gia đình hoặc cá nhân; hiện vật trị giá 250.000 đồng/gia đình hoặc cá nhân.</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 Quà tặng của lãnh đạo bộ, cơ quan trung ương:</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Mức quà tặng đối với tập thể: Tiền mặt là 3.000.000 đồng/tập thể; hiện vật trị giá 500.000 đồng/tập thể.</w:t>
      </w:r>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Mức quà tặng đối với gia đình, cá nhân: Tiền mặt là 1.000.000 đồng/gia đình hoặc cá nhân; hiện vật trị giá 250.000 đồng/gia đình hoặc cá nhân”.</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57" w:name="khoan_6_1"/>
      <w:r w:rsidRPr="00C83577">
        <w:rPr>
          <w:rFonts w:ascii="Times New Roman" w:eastAsia="Times New Roman" w:hAnsi="Times New Roman" w:cs="Times New Roman"/>
          <w:noProof w:val="0"/>
          <w:color w:val="000000"/>
          <w:sz w:val="18"/>
          <w:szCs w:val="18"/>
          <w:lang w:val="en-US"/>
        </w:rPr>
        <w:t>6. Sửa đổi, bổ sung</w:t>
      </w:r>
      <w:bookmarkEnd w:id="57"/>
      <w:r w:rsidRPr="00C83577">
        <w:rPr>
          <w:rFonts w:ascii="Times New Roman" w:eastAsia="Times New Roman" w:hAnsi="Times New Roman" w:cs="Times New Roman"/>
          <w:noProof w:val="0"/>
          <w:color w:val="000000"/>
          <w:sz w:val="18"/>
          <w:szCs w:val="18"/>
          <w:lang w:val="en-US"/>
        </w:rPr>
        <w:t> </w:t>
      </w:r>
      <w:bookmarkStart w:id="58" w:name="dc_17"/>
      <w:r w:rsidRPr="00C83577">
        <w:rPr>
          <w:rFonts w:ascii="Times New Roman" w:eastAsia="Times New Roman" w:hAnsi="Times New Roman" w:cs="Times New Roman"/>
          <w:noProof w:val="0"/>
          <w:color w:val="000000"/>
          <w:sz w:val="18"/>
          <w:szCs w:val="18"/>
          <w:lang w:val="en-US"/>
        </w:rPr>
        <w:t>khoản 4 Điều 14</w:t>
      </w:r>
      <w:bookmarkEnd w:id="58"/>
      <w:r w:rsidRPr="00C83577">
        <w:rPr>
          <w:rFonts w:ascii="Times New Roman" w:eastAsia="Times New Roman" w:hAnsi="Times New Roman" w:cs="Times New Roman"/>
          <w:noProof w:val="0"/>
          <w:color w:val="000000"/>
          <w:sz w:val="18"/>
          <w:szCs w:val="18"/>
          <w:lang w:val="en-US"/>
        </w:rPr>
        <w:t> </w:t>
      </w:r>
      <w:bookmarkStart w:id="59" w:name="khoan_6_1_name"/>
      <w:r w:rsidRPr="00C83577">
        <w:rPr>
          <w:rFonts w:ascii="Times New Roman" w:eastAsia="Times New Roman" w:hAnsi="Times New Roman" w:cs="Times New Roman"/>
          <w:noProof w:val="0"/>
          <w:color w:val="000000"/>
          <w:sz w:val="18"/>
          <w:szCs w:val="18"/>
          <w:lang w:val="en-US"/>
        </w:rPr>
        <w:t>như sau:</w:t>
      </w:r>
      <w:bookmarkEnd w:id="59"/>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 Bố trí kinh phí chi quản lý bằng 1,7% tổng kinh phí từ nguồn ngân sách trung ương thực hiện Pháp lệnh Ưu đãi người có công với cách mạng trong dự toán ngân sách hằng năm (trừ kinh phí hỗ trợ các cơ sở nuôi dưỡng, điều dưỡng và chi công tác mộ liệt sĩ, nghĩa trang liệt sĩ) của Bộ Lao động - Thương binh và Xã hội, Bộ Quốc phòng, Bộ Công an để tổ chức thực hiện Pháp lệnh, tăng cường kiểm tra, kiểm soát, đảm bảo quản lý chặt chẽ, minh bạch ngân sách nhà nước thực hiện chính sách ưu đãi người có công với cách mạng”.</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60" w:name="dieu_2"/>
      <w:r w:rsidRPr="00C83577">
        <w:rPr>
          <w:rFonts w:ascii="Times New Roman" w:eastAsia="Times New Roman" w:hAnsi="Times New Roman" w:cs="Times New Roman"/>
          <w:b/>
          <w:bCs/>
          <w:noProof w:val="0"/>
          <w:color w:val="000000"/>
          <w:sz w:val="18"/>
          <w:szCs w:val="18"/>
          <w:lang w:val="en-US"/>
        </w:rPr>
        <w:t>Điều 2. Điều khoản thi hành</w:t>
      </w:r>
      <w:bookmarkEnd w:id="60"/>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 Nghị định này có hiệu lực thi hành từ ngày 05 tháng 9 năm 2023.</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2. Mức hưởng trợ cấp, phụ cấp ưu đãi người có công với cách mạng theo quy định tại Phụ lục I, Phụ lục II, Phụ lục III, Phụ lục IV ban hành kèm theo Nghị định này và mức hưởng trợ cấp quy định tại </w:t>
      </w:r>
      <w:bookmarkStart w:id="61" w:name="dc_18"/>
      <w:r w:rsidRPr="00C83577">
        <w:rPr>
          <w:rFonts w:ascii="Times New Roman" w:eastAsia="Times New Roman" w:hAnsi="Times New Roman" w:cs="Times New Roman"/>
          <w:noProof w:val="0"/>
          <w:color w:val="000000"/>
          <w:sz w:val="18"/>
          <w:szCs w:val="18"/>
          <w:lang w:val="en-US"/>
        </w:rPr>
        <w:t>Điều 8</w:t>
      </w:r>
      <w:bookmarkEnd w:id="61"/>
      <w:r w:rsidRPr="00C83577">
        <w:rPr>
          <w:rFonts w:ascii="Times New Roman" w:eastAsia="Times New Roman" w:hAnsi="Times New Roman" w:cs="Times New Roman"/>
          <w:noProof w:val="0"/>
          <w:color w:val="000000"/>
          <w:sz w:val="18"/>
          <w:szCs w:val="18"/>
          <w:lang w:val="en-US"/>
        </w:rPr>
        <w:t>, Phụ lục VI ban hành kèm theo Nghị định số </w:t>
      </w:r>
      <w:hyperlink r:id="rId5" w:tgtFrame="_blank" w:tooltip="Nghị định 75/2021/NĐ-CP" w:history="1">
        <w:r w:rsidRPr="00C83577">
          <w:rPr>
            <w:rFonts w:ascii="Times New Roman" w:eastAsia="Times New Roman" w:hAnsi="Times New Roman" w:cs="Times New Roman"/>
            <w:noProof w:val="0"/>
            <w:color w:val="0E70C3"/>
            <w:sz w:val="18"/>
            <w:szCs w:val="18"/>
            <w:lang w:val="en-US"/>
          </w:rPr>
          <w:t>75/2021/NĐ-CP</w:t>
        </w:r>
      </w:hyperlink>
      <w:r w:rsidRPr="00C83577">
        <w:rPr>
          <w:rFonts w:ascii="Times New Roman" w:eastAsia="Times New Roman" w:hAnsi="Times New Roman" w:cs="Times New Roman"/>
          <w:noProof w:val="0"/>
          <w:color w:val="000000"/>
          <w:sz w:val="18"/>
          <w:szCs w:val="18"/>
          <w:lang w:val="en-US"/>
        </w:rPr>
        <w:t>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7 năm 2023.</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 Mức chi chế độ điều dưỡng theo quy định tại </w:t>
      </w:r>
      <w:bookmarkStart w:id="62" w:name="dc_19"/>
      <w:r w:rsidRPr="00C83577">
        <w:rPr>
          <w:rFonts w:ascii="Times New Roman" w:eastAsia="Times New Roman" w:hAnsi="Times New Roman" w:cs="Times New Roman"/>
          <w:noProof w:val="0"/>
          <w:color w:val="000000"/>
          <w:sz w:val="18"/>
          <w:szCs w:val="18"/>
          <w:lang w:val="en-US"/>
        </w:rPr>
        <w:t>Điều 6 Nghị định số 75/2021/NĐ-CP</w:t>
      </w:r>
      <w:bookmarkEnd w:id="62"/>
      <w:r w:rsidRPr="00C83577">
        <w:rPr>
          <w:rFonts w:ascii="Times New Roman" w:eastAsia="Times New Roman" w:hAnsi="Times New Roman" w:cs="Times New Roman"/>
          <w:noProof w:val="0"/>
          <w:color w:val="000000"/>
          <w:sz w:val="18"/>
          <w:szCs w:val="18"/>
          <w:lang w:val="en-US"/>
        </w:rPr>
        <w:t> ngày 24 tháng 7 năm 2021 của Chính phủ quy định mức hưởng trợ cấp, phụ cấp và các chế độ ưu đãi người có công với cách mạng được quy định theo mức chuẩn tại Nghị định này và được thực hiện kể từ ngày 01 tháng 01 năm 2024.</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 Những trường hợp quy định tại </w:t>
      </w:r>
      <w:bookmarkStart w:id="63" w:name="dc_20"/>
      <w:r w:rsidRPr="00C83577">
        <w:rPr>
          <w:rFonts w:ascii="Times New Roman" w:eastAsia="Times New Roman" w:hAnsi="Times New Roman" w:cs="Times New Roman"/>
          <w:noProof w:val="0"/>
          <w:color w:val="000000"/>
          <w:sz w:val="18"/>
          <w:szCs w:val="18"/>
          <w:lang w:val="en-US"/>
        </w:rPr>
        <w:t>khoản 5 Điều 184 Nghị định số 131/2021/NĐ-CP</w:t>
      </w:r>
      <w:bookmarkEnd w:id="63"/>
      <w:r w:rsidRPr="00C83577">
        <w:rPr>
          <w:rFonts w:ascii="Times New Roman" w:eastAsia="Times New Roman" w:hAnsi="Times New Roman" w:cs="Times New Roman"/>
          <w:noProof w:val="0"/>
          <w:color w:val="000000"/>
          <w:sz w:val="18"/>
          <w:szCs w:val="18"/>
          <w:lang w:val="en-US"/>
        </w:rPr>
        <w:t> ngày 30 tháng 12 năm 2021 của Chính phủ quy định chi tiết và biện pháp thi hành Pháp lệnh Ưu đãi người có công với cách mạng được hỗ trợ thuốc, điều trị và bồi dưỡng phục hồi sức khỏe; cơ sở nuôi dưỡng người có công do ngành Lao động - Thương binh và Xã hội quản lý được hỗ trợ phục vụ công tác nuôi dưỡng những trường hợp này. Nội dung và mức hỗ trợ được thực hiện theo quy định tại khoản 4 và khoản 5 Điều 13 Nghị định này.</w:t>
      </w:r>
    </w:p>
    <w:p w:rsidR="00C83577" w:rsidRPr="00C83577" w:rsidRDefault="00C83577" w:rsidP="00C83577">
      <w:pPr>
        <w:shd w:val="clear" w:color="auto" w:fill="FFFFFF"/>
        <w:spacing w:after="0" w:line="234" w:lineRule="atLeast"/>
        <w:rPr>
          <w:rFonts w:ascii="Times New Roman" w:eastAsia="Times New Roman" w:hAnsi="Times New Roman" w:cs="Times New Roman"/>
          <w:noProof w:val="0"/>
          <w:color w:val="000000"/>
          <w:sz w:val="18"/>
          <w:szCs w:val="18"/>
          <w:lang w:val="en-US"/>
        </w:rPr>
      </w:pPr>
      <w:bookmarkStart w:id="64" w:name="dieu_3"/>
      <w:r w:rsidRPr="00C83577">
        <w:rPr>
          <w:rFonts w:ascii="Times New Roman" w:eastAsia="Times New Roman" w:hAnsi="Times New Roman" w:cs="Times New Roman"/>
          <w:b/>
          <w:bCs/>
          <w:noProof w:val="0"/>
          <w:color w:val="000000"/>
          <w:sz w:val="18"/>
          <w:szCs w:val="18"/>
          <w:lang w:val="en-US"/>
        </w:rPr>
        <w:t>Điều 3. Trách nhiệm thi hành</w:t>
      </w:r>
      <w:bookmarkEnd w:id="64"/>
    </w:p>
    <w:p w:rsidR="00C83577" w:rsidRPr="00C83577" w:rsidRDefault="00C83577" w:rsidP="00C83577">
      <w:pPr>
        <w:shd w:val="clear" w:color="auto" w:fill="FFFFFF"/>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8"/>
        <w:gridCol w:w="4188"/>
      </w:tblGrid>
      <w:tr w:rsidR="00C83577" w:rsidRPr="00C83577" w:rsidTr="00C83577">
        <w:trPr>
          <w:tblCellSpacing w:w="0" w:type="dxa"/>
        </w:trPr>
        <w:tc>
          <w:tcPr>
            <w:tcW w:w="4668" w:type="dxa"/>
            <w:shd w:val="clear" w:color="auto" w:fill="FFFFFF"/>
            <w:tcMar>
              <w:top w:w="0" w:type="dxa"/>
              <w:left w:w="108" w:type="dxa"/>
              <w:bottom w:w="0"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6"/>
                <w:szCs w:val="16"/>
                <w:lang w:val="en-US"/>
              </w:rPr>
              <w:br/>
            </w:r>
            <w:r w:rsidRPr="00C83577">
              <w:rPr>
                <w:rFonts w:ascii="Times New Roman" w:eastAsia="Times New Roman" w:hAnsi="Times New Roman" w:cs="Times New Roman"/>
                <w:b/>
                <w:bCs/>
                <w:i/>
                <w:iCs/>
                <w:noProof w:val="0"/>
                <w:color w:val="000000"/>
                <w:sz w:val="18"/>
                <w:szCs w:val="18"/>
                <w:lang w:val="en-US"/>
              </w:rPr>
              <w:t>Nơi nhận:</w:t>
            </w:r>
            <w:r w:rsidRPr="00C83577">
              <w:rPr>
                <w:rFonts w:ascii="Times New Roman" w:eastAsia="Times New Roman" w:hAnsi="Times New Roman" w:cs="Times New Roman"/>
                <w:b/>
                <w:bCs/>
                <w:i/>
                <w:iCs/>
                <w:noProof w:val="0"/>
                <w:color w:val="000000"/>
                <w:sz w:val="18"/>
                <w:szCs w:val="18"/>
                <w:lang w:val="en-US"/>
              </w:rPr>
              <w:br/>
            </w:r>
            <w:r w:rsidRPr="00C83577">
              <w:rPr>
                <w:rFonts w:ascii="Times New Roman" w:eastAsia="Times New Roman" w:hAnsi="Times New Roman" w:cs="Times New Roman"/>
                <w:noProof w:val="0"/>
                <w:color w:val="000000"/>
                <w:sz w:val="16"/>
                <w:szCs w:val="16"/>
                <w:lang w:val="en-US"/>
              </w:rPr>
              <w:t>- Ban Bí thư Trung ương Đảng;</w:t>
            </w:r>
            <w:r w:rsidRPr="00C83577">
              <w:rPr>
                <w:rFonts w:ascii="Times New Roman" w:eastAsia="Times New Roman" w:hAnsi="Times New Roman" w:cs="Times New Roman"/>
                <w:noProof w:val="0"/>
                <w:color w:val="000000"/>
                <w:sz w:val="16"/>
                <w:szCs w:val="16"/>
                <w:lang w:val="en-US"/>
              </w:rPr>
              <w:br/>
              <w:t>- Thủ tướng, các Phó Thủ tướng Chính phủ;</w:t>
            </w:r>
            <w:r w:rsidRPr="00C83577">
              <w:rPr>
                <w:rFonts w:ascii="Times New Roman" w:eastAsia="Times New Roman" w:hAnsi="Times New Roman" w:cs="Times New Roman"/>
                <w:noProof w:val="0"/>
                <w:color w:val="000000"/>
                <w:sz w:val="16"/>
                <w:szCs w:val="16"/>
                <w:lang w:val="en-US"/>
              </w:rPr>
              <w:br/>
              <w:t>- Các bộ, cơ quan ngang bộ, cơ quan thuộc Chính phủ;</w:t>
            </w:r>
            <w:r w:rsidRPr="00C83577">
              <w:rPr>
                <w:rFonts w:ascii="Times New Roman" w:eastAsia="Times New Roman" w:hAnsi="Times New Roman" w:cs="Times New Roman"/>
                <w:noProof w:val="0"/>
                <w:color w:val="000000"/>
                <w:sz w:val="16"/>
                <w:szCs w:val="16"/>
                <w:lang w:val="en-US"/>
              </w:rPr>
              <w:br/>
              <w:t>- HĐND, UBND các tỉnh, thành phố trực thuộc trung ương;</w:t>
            </w:r>
            <w:r w:rsidRPr="00C83577">
              <w:rPr>
                <w:rFonts w:ascii="Times New Roman" w:eastAsia="Times New Roman" w:hAnsi="Times New Roman" w:cs="Times New Roman"/>
                <w:noProof w:val="0"/>
                <w:color w:val="000000"/>
                <w:sz w:val="16"/>
                <w:szCs w:val="16"/>
                <w:lang w:val="en-US"/>
              </w:rPr>
              <w:br/>
              <w:t>- Văn phòng Trung ương và các Ban của Đảng;</w:t>
            </w:r>
            <w:r w:rsidRPr="00C83577">
              <w:rPr>
                <w:rFonts w:ascii="Times New Roman" w:eastAsia="Times New Roman" w:hAnsi="Times New Roman" w:cs="Times New Roman"/>
                <w:noProof w:val="0"/>
                <w:color w:val="000000"/>
                <w:sz w:val="16"/>
                <w:szCs w:val="16"/>
                <w:lang w:val="en-US"/>
              </w:rPr>
              <w:br/>
              <w:t>- Văn phòng Tổng Bí thư;</w:t>
            </w:r>
            <w:r w:rsidRPr="00C83577">
              <w:rPr>
                <w:rFonts w:ascii="Times New Roman" w:eastAsia="Times New Roman" w:hAnsi="Times New Roman" w:cs="Times New Roman"/>
                <w:noProof w:val="0"/>
                <w:color w:val="000000"/>
                <w:sz w:val="16"/>
                <w:szCs w:val="16"/>
                <w:lang w:val="en-US"/>
              </w:rPr>
              <w:br/>
              <w:t>- Văn phòng Chủ tịch nước;</w:t>
            </w:r>
            <w:r w:rsidRPr="00C83577">
              <w:rPr>
                <w:rFonts w:ascii="Times New Roman" w:eastAsia="Times New Roman" w:hAnsi="Times New Roman" w:cs="Times New Roman"/>
                <w:noProof w:val="0"/>
                <w:color w:val="000000"/>
                <w:sz w:val="16"/>
                <w:szCs w:val="16"/>
                <w:lang w:val="en-US"/>
              </w:rPr>
              <w:br/>
              <w:t>- Hội đồng Dân tộc và các Ủy ban của Quốc hội;</w:t>
            </w:r>
            <w:r w:rsidRPr="00C83577">
              <w:rPr>
                <w:rFonts w:ascii="Times New Roman" w:eastAsia="Times New Roman" w:hAnsi="Times New Roman" w:cs="Times New Roman"/>
                <w:noProof w:val="0"/>
                <w:color w:val="000000"/>
                <w:sz w:val="16"/>
                <w:szCs w:val="16"/>
                <w:lang w:val="en-US"/>
              </w:rPr>
              <w:br/>
              <w:t>- Văn phòng Quốc hội;</w:t>
            </w:r>
            <w:r w:rsidRPr="00C83577">
              <w:rPr>
                <w:rFonts w:ascii="Times New Roman" w:eastAsia="Times New Roman" w:hAnsi="Times New Roman" w:cs="Times New Roman"/>
                <w:noProof w:val="0"/>
                <w:color w:val="000000"/>
                <w:sz w:val="16"/>
                <w:szCs w:val="16"/>
                <w:lang w:val="en-US"/>
              </w:rPr>
              <w:br/>
              <w:t>- Tòa án nhân dân tối cao;</w:t>
            </w:r>
            <w:r w:rsidRPr="00C83577">
              <w:rPr>
                <w:rFonts w:ascii="Times New Roman" w:eastAsia="Times New Roman" w:hAnsi="Times New Roman" w:cs="Times New Roman"/>
                <w:noProof w:val="0"/>
                <w:color w:val="000000"/>
                <w:sz w:val="16"/>
                <w:szCs w:val="16"/>
                <w:lang w:val="en-US"/>
              </w:rPr>
              <w:br/>
              <w:t>- Viện kiểm sát nhân dân tối cao;</w:t>
            </w:r>
            <w:r w:rsidRPr="00C83577">
              <w:rPr>
                <w:rFonts w:ascii="Times New Roman" w:eastAsia="Times New Roman" w:hAnsi="Times New Roman" w:cs="Times New Roman"/>
                <w:noProof w:val="0"/>
                <w:color w:val="000000"/>
                <w:sz w:val="16"/>
                <w:szCs w:val="16"/>
                <w:lang w:val="en-US"/>
              </w:rPr>
              <w:br/>
              <w:t>- Kiểm toán nhà nước;</w:t>
            </w:r>
            <w:r w:rsidRPr="00C83577">
              <w:rPr>
                <w:rFonts w:ascii="Times New Roman" w:eastAsia="Times New Roman" w:hAnsi="Times New Roman" w:cs="Times New Roman"/>
                <w:noProof w:val="0"/>
                <w:color w:val="000000"/>
                <w:sz w:val="16"/>
                <w:szCs w:val="16"/>
                <w:lang w:val="en-US"/>
              </w:rPr>
              <w:br/>
              <w:t>- Ủy ban Giám sát tài chính Quốc gia;</w:t>
            </w:r>
            <w:r w:rsidRPr="00C83577">
              <w:rPr>
                <w:rFonts w:ascii="Times New Roman" w:eastAsia="Times New Roman" w:hAnsi="Times New Roman" w:cs="Times New Roman"/>
                <w:noProof w:val="0"/>
                <w:color w:val="000000"/>
                <w:sz w:val="16"/>
                <w:szCs w:val="16"/>
                <w:lang w:val="en-US"/>
              </w:rPr>
              <w:br/>
              <w:t>- Ngân hàng Chính sách xã hội;</w:t>
            </w:r>
            <w:r w:rsidRPr="00C83577">
              <w:rPr>
                <w:rFonts w:ascii="Times New Roman" w:eastAsia="Times New Roman" w:hAnsi="Times New Roman" w:cs="Times New Roman"/>
                <w:noProof w:val="0"/>
                <w:color w:val="000000"/>
                <w:sz w:val="16"/>
                <w:szCs w:val="16"/>
                <w:lang w:val="en-US"/>
              </w:rPr>
              <w:br/>
              <w:t>- Ngân hàng Phát triển Việt Nam;</w:t>
            </w:r>
            <w:r w:rsidRPr="00C83577">
              <w:rPr>
                <w:rFonts w:ascii="Times New Roman" w:eastAsia="Times New Roman" w:hAnsi="Times New Roman" w:cs="Times New Roman"/>
                <w:noProof w:val="0"/>
                <w:color w:val="000000"/>
                <w:sz w:val="16"/>
                <w:szCs w:val="16"/>
                <w:lang w:val="en-US"/>
              </w:rPr>
              <w:br/>
              <w:t>- Ủy ban trung ương Mặt trận Tổ quốc Việt Nam;</w:t>
            </w:r>
            <w:r w:rsidRPr="00C83577">
              <w:rPr>
                <w:rFonts w:ascii="Times New Roman" w:eastAsia="Times New Roman" w:hAnsi="Times New Roman" w:cs="Times New Roman"/>
                <w:noProof w:val="0"/>
                <w:color w:val="000000"/>
                <w:sz w:val="16"/>
                <w:szCs w:val="16"/>
                <w:lang w:val="en-US"/>
              </w:rPr>
              <w:br/>
              <w:t>- Cơ quan trung ương của các đoàn thể;</w:t>
            </w:r>
            <w:r w:rsidRPr="00C83577">
              <w:rPr>
                <w:rFonts w:ascii="Times New Roman" w:eastAsia="Times New Roman" w:hAnsi="Times New Roman" w:cs="Times New Roman"/>
                <w:noProof w:val="0"/>
                <w:color w:val="000000"/>
                <w:sz w:val="16"/>
                <w:szCs w:val="16"/>
                <w:lang w:val="en-US"/>
              </w:rPr>
              <w:br/>
              <w:t>- VPCP: BTCN, các PCN, Trợ lý TTg, TGĐ Cổng TTĐT,</w:t>
            </w:r>
            <w:r w:rsidRPr="00C83577">
              <w:rPr>
                <w:rFonts w:ascii="Times New Roman" w:eastAsia="Times New Roman" w:hAnsi="Times New Roman" w:cs="Times New Roman"/>
                <w:noProof w:val="0"/>
                <w:color w:val="000000"/>
                <w:sz w:val="16"/>
                <w:szCs w:val="16"/>
                <w:lang w:val="en-US"/>
              </w:rPr>
              <w:br/>
              <w:t>các Vụ, Cục, đơn vị trực thuộc, Công báo;</w:t>
            </w:r>
            <w:r w:rsidRPr="00C83577">
              <w:rPr>
                <w:rFonts w:ascii="Times New Roman" w:eastAsia="Times New Roman" w:hAnsi="Times New Roman" w:cs="Times New Roman"/>
                <w:noProof w:val="0"/>
                <w:color w:val="000000"/>
                <w:sz w:val="16"/>
                <w:szCs w:val="16"/>
                <w:lang w:val="en-US"/>
              </w:rPr>
              <w:br/>
              <w:t>- Lưu: VT, KGVX (2b).</w:t>
            </w:r>
          </w:p>
        </w:tc>
        <w:tc>
          <w:tcPr>
            <w:tcW w:w="4188" w:type="dxa"/>
            <w:shd w:val="clear" w:color="auto" w:fill="FFFFFF"/>
            <w:tcMar>
              <w:top w:w="0" w:type="dxa"/>
              <w:left w:w="108" w:type="dxa"/>
              <w:bottom w:w="0"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TM. CHÍNH PHỦ</w:t>
            </w:r>
            <w:r w:rsidRPr="00C83577">
              <w:rPr>
                <w:rFonts w:ascii="Times New Roman" w:eastAsia="Times New Roman" w:hAnsi="Times New Roman" w:cs="Times New Roman"/>
                <w:b/>
                <w:bCs/>
                <w:noProof w:val="0"/>
                <w:color w:val="000000"/>
                <w:sz w:val="18"/>
                <w:szCs w:val="18"/>
                <w:lang w:val="en-US"/>
              </w:rPr>
              <w:br/>
              <w:t>KT. THỦ TƯỚNG</w:t>
            </w:r>
            <w:r w:rsidRPr="00C83577">
              <w:rPr>
                <w:rFonts w:ascii="Times New Roman" w:eastAsia="Times New Roman" w:hAnsi="Times New Roman" w:cs="Times New Roman"/>
                <w:b/>
                <w:bCs/>
                <w:noProof w:val="0"/>
                <w:color w:val="000000"/>
                <w:sz w:val="18"/>
                <w:szCs w:val="18"/>
                <w:lang w:val="en-US"/>
              </w:rPr>
              <w:br/>
              <w:t>PHÓ THỦ TƯỚNG</w:t>
            </w:r>
            <w:r w:rsidRPr="00C83577">
              <w:rPr>
                <w:rFonts w:ascii="Times New Roman" w:eastAsia="Times New Roman" w:hAnsi="Times New Roman" w:cs="Times New Roman"/>
                <w:b/>
                <w:bCs/>
                <w:noProof w:val="0"/>
                <w:color w:val="000000"/>
                <w:sz w:val="18"/>
                <w:szCs w:val="18"/>
                <w:lang w:val="en-US"/>
              </w:rPr>
              <w:br/>
            </w:r>
            <w:r w:rsidRPr="00C83577">
              <w:rPr>
                <w:rFonts w:ascii="Times New Roman" w:eastAsia="Times New Roman" w:hAnsi="Times New Roman" w:cs="Times New Roman"/>
                <w:b/>
                <w:bCs/>
                <w:noProof w:val="0"/>
                <w:color w:val="000000"/>
                <w:sz w:val="18"/>
                <w:szCs w:val="18"/>
                <w:lang w:val="en-US"/>
              </w:rPr>
              <w:br/>
            </w:r>
            <w:r w:rsidRPr="00C83577">
              <w:rPr>
                <w:rFonts w:ascii="Times New Roman" w:eastAsia="Times New Roman" w:hAnsi="Times New Roman" w:cs="Times New Roman"/>
                <w:b/>
                <w:bCs/>
                <w:noProof w:val="0"/>
                <w:color w:val="000000"/>
                <w:sz w:val="18"/>
                <w:szCs w:val="18"/>
                <w:lang w:val="en-US"/>
              </w:rPr>
              <w:br/>
            </w:r>
            <w:r w:rsidRPr="00C83577">
              <w:rPr>
                <w:rFonts w:ascii="Times New Roman" w:eastAsia="Times New Roman" w:hAnsi="Times New Roman" w:cs="Times New Roman"/>
                <w:b/>
                <w:bCs/>
                <w:noProof w:val="0"/>
                <w:color w:val="000000"/>
                <w:sz w:val="18"/>
                <w:szCs w:val="18"/>
                <w:lang w:val="en-US"/>
              </w:rPr>
              <w:br/>
            </w:r>
            <w:r w:rsidRPr="00C83577">
              <w:rPr>
                <w:rFonts w:ascii="Times New Roman" w:eastAsia="Times New Roman" w:hAnsi="Times New Roman" w:cs="Times New Roman"/>
                <w:b/>
                <w:bCs/>
                <w:noProof w:val="0"/>
                <w:color w:val="000000"/>
                <w:sz w:val="18"/>
                <w:szCs w:val="18"/>
                <w:lang w:val="en-US"/>
              </w:rPr>
              <w:br/>
              <w:t>Trần Hồng Hà</w:t>
            </w:r>
          </w:p>
        </w:tc>
      </w:tr>
    </w:tbl>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65" w:name="chuong_pl"/>
      <w:bookmarkStart w:id="66" w:name="_GoBack"/>
      <w:r w:rsidRPr="00C83577">
        <w:rPr>
          <w:rFonts w:ascii="Times New Roman" w:eastAsia="Times New Roman" w:hAnsi="Times New Roman" w:cs="Times New Roman"/>
          <w:b/>
          <w:bCs/>
          <w:noProof w:val="0"/>
          <w:color w:val="000000"/>
          <w:sz w:val="24"/>
          <w:szCs w:val="24"/>
          <w:shd w:val="clear" w:color="auto" w:fill="FFFF96"/>
          <w:lang w:val="en-US"/>
        </w:rPr>
        <w:t>PHỤ LỤC I</w:t>
      </w:r>
      <w:bookmarkEnd w:id="65"/>
    </w:p>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67" w:name="chuong_pl_name"/>
      <w:r w:rsidRPr="00C83577">
        <w:rPr>
          <w:rFonts w:ascii="Times New Roman" w:eastAsia="Times New Roman" w:hAnsi="Times New Roman" w:cs="Times New Roman"/>
          <w:noProof w:val="0"/>
          <w:color w:val="000000"/>
          <w:sz w:val="18"/>
          <w:szCs w:val="18"/>
          <w:lang w:val="en-US"/>
        </w:rPr>
        <w:t>MỨC HƯỞNG TRỢ CẤP, PHỤ CẤP ƯU ĐÃI HẰNG THÁNG ĐỐI VỚI NGƯỜI CÓ CÔNG VỚI CÁCH MẠNG VÀ THÂN NHÂN CỦA NGƯỜI CÓ CÔNG VỚI CÁCH MẠNG</w:t>
      </w:r>
      <w:bookmarkEnd w:id="67"/>
      <w:r w:rsidRPr="00C83577">
        <w:rPr>
          <w:rFonts w:ascii="Times New Roman" w:eastAsia="Times New Roman" w:hAnsi="Times New Roman" w:cs="Times New Roman"/>
          <w:noProof w:val="0"/>
          <w:color w:val="000000"/>
          <w:sz w:val="18"/>
          <w:szCs w:val="18"/>
          <w:lang w:val="en-US"/>
        </w:rPr>
        <w:br/>
      </w:r>
      <w:r w:rsidRPr="00C83577">
        <w:rPr>
          <w:rFonts w:ascii="Times New Roman" w:eastAsia="Times New Roman" w:hAnsi="Times New Roman" w:cs="Times New Roman"/>
          <w:i/>
          <w:iCs/>
          <w:noProof w:val="0"/>
          <w:color w:val="000000"/>
          <w:sz w:val="18"/>
          <w:szCs w:val="18"/>
          <w:lang w:val="en-US"/>
        </w:rPr>
        <w:t>(Kèm theo Nghị định số 55/2023/NĐ-CP ngày 21 tháng 7 năm 2023 của Chính phủ)</w:t>
      </w:r>
    </w:p>
    <w:p w:rsidR="00C83577" w:rsidRPr="00C83577" w:rsidRDefault="00C83577" w:rsidP="00C83577">
      <w:pPr>
        <w:shd w:val="clear" w:color="auto" w:fill="FFFFFF"/>
        <w:spacing w:before="120" w:after="120" w:line="234" w:lineRule="atLeast"/>
        <w:jc w:val="righ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Đơn vị: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4"/>
        <w:gridCol w:w="5362"/>
        <w:gridCol w:w="1560"/>
        <w:gridCol w:w="1576"/>
      </w:tblGrid>
      <w:tr w:rsidR="00C83577" w:rsidRPr="00C83577" w:rsidTr="00C83577">
        <w:trPr>
          <w:tblCellSpacing w:w="0" w:type="dxa"/>
        </w:trPr>
        <w:tc>
          <w:tcPr>
            <w:tcW w:w="8856" w:type="dxa"/>
            <w:gridSpan w:val="4"/>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TRỢ CẤP, PHỤ CẤP ƯU ĐÃI HẰNG THÁNG</w:t>
            </w:r>
          </w:p>
        </w:tc>
      </w:tr>
      <w:tr w:rsidR="00C83577" w:rsidRPr="00C83577" w:rsidTr="00C83577">
        <w:trPr>
          <w:tblCellSpacing w:w="0" w:type="dxa"/>
        </w:trPr>
        <w:tc>
          <w:tcPr>
            <w:tcW w:w="69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5149"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Đối tượng</w:t>
            </w:r>
          </w:p>
        </w:tc>
        <w:tc>
          <w:tcPr>
            <w:tcW w:w="3011"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trợ cấp, phụ cấp</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0" w:type="auto"/>
            <w:vMerge/>
            <w:tcBorders>
              <w:top w:val="nil"/>
              <w:left w:val="nil"/>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Trợ cấp</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Phụ cấp</w:t>
            </w: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trước ngày 01 tháng 01 năm 1945 và thân nhân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trước ngày 01 tháng 01 năm 1945:</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Diện thoát ly</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2.297.000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390.000/01 thâm niên</w:t>
            </w: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Diện không thoát ly</w:t>
            </w:r>
          </w:p>
        </w:tc>
        <w:tc>
          <w:tcPr>
            <w:tcW w:w="3011" w:type="dxa"/>
            <w:gridSpan w:val="2"/>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3.899.000</w:t>
            </w: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người hoạt động cách mạng trước ngày 01 tháng 01 năm 1945 từ trần: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Vợ hoặc chồng, con chưa đủ 18 tuổi hoặc từ đủ 18 tuổi trở lên nếu còn tiếp tục đi học hoặc bị khuyết tật nặng, khuyết tật đặc biệt nặng được hưởng trợ cấp tuất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1.644.000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từ ngày 01 tháng 01 năm 1945 đến ngày khởi nghĩa tháng Tám năm 1945 và thân nhân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từ ngày 01 tháng 01 năm 1945 đến ngày khởi nghĩa tháng Tám năm 1945</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2.125.000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người hoạt động cách mạng từ ngày 01 tháng 01 năm 1945 đến ngày khởi nghĩa tháng Tám năm 1945 từ trần: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Vợ hoặc chồng, con chưa đủ 18 tuổi hoặc từ đủ 18 tuổi trở lên nếu còn tiếp tục đi học hoặc bị khuyết tật nặng, khuyết tật đặc biệt nặng được hưởng trợ cấp tuất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1.153.000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1.644.000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liệt sĩ:</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01 liệt sĩ</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02 liệt sĩ</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4.110.000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3.3</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3 liệt sĩ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6.165.000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Cha đẻ, mẹ đẻ, người có công nuôi liệt sĩ, vợ hoặc chồng liệt sĩ sống cô đơn; con liệt sĩ chưa đủ 18 tuổi hoặc từ đủ 18 tuổi trở lên nếu còn tiếp tục đi học hoặc bị khuyết tật nặng, khuyết tật đặc biệt nặng mồ côi cả cha mẹ thì được hưởng thêm trợ cấp tuất nuôi dưỡng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1.644.000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Vợ hoặc chồng liệt sĩ lấy chồng hoặc vợ khác mà nuôi con liệt sĩ đến tuổi trưởng thành hoặc chăm sóc cha đẻ, mẹ đẻ liệt sĩ khi còn sống hoặc vì hoạt động cách mạng mà không có điều kiện chăm sóc cha đẻ, mẹ đẻ khi còn sống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Bà mẹ Việt Nam anh hùng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6.165.000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1.722.000</w:t>
            </w: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phục vụ Bà mẹ Việt Nam anh hùng sống ở gia đình</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5</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Anh hùng Lực lượng vũ trang nhân dân, Anh hùng Lao động trong thời kỳ kháng chiến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1.722.000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Thương binh, người hưởng chính sách như thương binh, thương binh loại B và thân nhân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Thương binh, người hưởng chính sách như thương binh, thương binh loại B</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Thương binh, người hưởng chính sách như thương binh</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Phụ lục II</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Thương binh loại B</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Phụ lục III</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Thương binh, người hưởng chính sách như thương binh, thương binh loại B có tỷ lệ tổn thương cơ thể từ 81%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1.031.000</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Thương binh, người hưởng chính sách như thương binh, thương binh loại B có tỷ lệ tổn thương cơ thể từ 81% trở lên có vết thương đặc biệt nặng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2.113.000</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phục vụ thương binh, người hưởng chính sách như thương binh, thương binh loại B có tỷ lệ tổn thương cơ thể từ 81% trở lên ở gia đình</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phục vụ thương binh, người hưởng chính sách như thương binh, thương binh loại B có tỷ lệ tổn thương cơ thể từ 81% trở lên có vết thương đặc biệt nặng ở gia đình</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2.640.000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thương binh, người hưởng chính sách như thương binh, thương binh loại B có tỷ lệ tổn thương cơ thể từ 61%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Cha đẻ, mẹ đẻ, vợ hoặc chồng đủ tuổi theo quy định tại </w:t>
            </w:r>
            <w:bookmarkStart w:id="68" w:name="dc_21"/>
            <w:r w:rsidRPr="00C83577">
              <w:rPr>
                <w:rFonts w:ascii="Times New Roman" w:eastAsia="Times New Roman" w:hAnsi="Times New Roman" w:cs="Times New Roman"/>
                <w:noProof w:val="0"/>
                <w:color w:val="000000"/>
                <w:sz w:val="18"/>
                <w:szCs w:val="18"/>
                <w:lang w:val="en-US"/>
              </w:rPr>
              <w:t>khoản 2 Điều 169 của Bộ luật Lao động</w:t>
            </w:r>
            <w:bookmarkEnd w:id="68"/>
            <w:r w:rsidRPr="00C83577">
              <w:rPr>
                <w:rFonts w:ascii="Times New Roman" w:eastAsia="Times New Roman" w:hAnsi="Times New Roman" w:cs="Times New Roman"/>
                <w:noProof w:val="0"/>
                <w:color w:val="000000"/>
                <w:sz w:val="18"/>
                <w:szCs w:val="18"/>
                <w:lang w:val="en-US"/>
              </w:rPr>
              <w:t>, con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trợ cấp tuất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1.153.000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Cha đẻ, mẹ đẻ sống cô đơn, vợ hoặc chồng đủ tuổi theo quy định tại </w:t>
            </w:r>
            <w:bookmarkStart w:id="69" w:name="dc_22"/>
            <w:r w:rsidRPr="00C83577">
              <w:rPr>
                <w:rFonts w:ascii="Times New Roman" w:eastAsia="Times New Roman" w:hAnsi="Times New Roman" w:cs="Times New Roman"/>
                <w:noProof w:val="0"/>
                <w:color w:val="000000"/>
                <w:sz w:val="18"/>
                <w:szCs w:val="18"/>
                <w:lang w:val="en-US"/>
              </w:rPr>
              <w:t>khoản 2 Điều 169 của Bộ luật Lao động</w:t>
            </w:r>
            <w:bookmarkEnd w:id="69"/>
            <w:r w:rsidRPr="00C83577">
              <w:rPr>
                <w:rFonts w:ascii="Times New Roman" w:eastAsia="Times New Roman" w:hAnsi="Times New Roman" w:cs="Times New Roman"/>
                <w:noProof w:val="0"/>
                <w:color w:val="000000"/>
                <w:sz w:val="18"/>
                <w:szCs w:val="18"/>
                <w:lang w:val="en-US"/>
              </w:rPr>
              <w:t> sống cô đơn, con mồ côi cả cha mẹ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thêm trợ cấp tuất nuôi dưỡng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1.644.000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Bệnh binh và thân nhân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Bệnh binh:</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41% - 50%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2.145.000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51% - 60%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2.673.000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61% - 70%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3.406.000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71% - 80%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3.927.000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81% - 90%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4.700.000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91% - 100%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5.235.000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Bệnh binh có tỷ lệ tổn thương cơ thể từ 81%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1.031.000</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Bệnh binh có tỷ lệ tổn thương cơ thể từ 81% trở lên có bệnh tật đặc biệt nặng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phục vụ bệnh binh ở gia đình có tỷ lệ tổn thương cơ thể từ 81%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phục vụ bệnh binh ở gia đình có tỷ lệ tổn thương cơ thể từ 81% trở lên có bệnh tật đặc biệt nặng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2.640.000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bệnh binh:</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Cha đẻ, mẹ đẻ, vợ hoặc chồng đủ tuổi theo quy định tại </w:t>
            </w:r>
            <w:bookmarkStart w:id="70" w:name="dc_23"/>
            <w:r w:rsidRPr="00C83577">
              <w:rPr>
                <w:rFonts w:ascii="Times New Roman" w:eastAsia="Times New Roman" w:hAnsi="Times New Roman" w:cs="Times New Roman"/>
                <w:noProof w:val="0"/>
                <w:color w:val="000000"/>
                <w:sz w:val="18"/>
                <w:szCs w:val="18"/>
                <w:lang w:val="en-US"/>
              </w:rPr>
              <w:t>khoản 2 Điều 169 của Bộ luật Lao động</w:t>
            </w:r>
            <w:bookmarkEnd w:id="70"/>
            <w:r w:rsidRPr="00C83577">
              <w:rPr>
                <w:rFonts w:ascii="Times New Roman" w:eastAsia="Times New Roman" w:hAnsi="Times New Roman" w:cs="Times New Roman"/>
                <w:noProof w:val="0"/>
                <w:color w:val="000000"/>
                <w:sz w:val="18"/>
                <w:szCs w:val="18"/>
                <w:lang w:val="en-US"/>
              </w:rPr>
              <w:t>, con chưa đủ 18 tuổi hoặc từ đủ 18 tuổi trở lên nếu còn tiếp tục đi học hoặc bị khuyết tật nặng, khuyết tật đặc biệt nặng của bệnh binh có tỷ lệ tổn thương cơ thể từ 61% trở lên từ trần được hưởng trợ cấp tuất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1.153.000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Cha đẻ, mẹ đẻ sống cô đơn, vợ hoặc chồng đủ tuổi theo quy định tại </w:t>
            </w:r>
            <w:bookmarkStart w:id="71" w:name="dc_24"/>
            <w:r w:rsidRPr="00C83577">
              <w:rPr>
                <w:rFonts w:ascii="Times New Roman" w:eastAsia="Times New Roman" w:hAnsi="Times New Roman" w:cs="Times New Roman"/>
                <w:noProof w:val="0"/>
                <w:color w:val="000000"/>
                <w:sz w:val="18"/>
                <w:szCs w:val="18"/>
                <w:lang w:val="en-US"/>
              </w:rPr>
              <w:t>khoản 2 Điều 169 của Bộ luật Lao động</w:t>
            </w:r>
            <w:bookmarkEnd w:id="71"/>
            <w:r w:rsidRPr="00C83577">
              <w:rPr>
                <w:rFonts w:ascii="Times New Roman" w:eastAsia="Times New Roman" w:hAnsi="Times New Roman" w:cs="Times New Roman"/>
                <w:noProof w:val="0"/>
                <w:color w:val="000000"/>
                <w:sz w:val="18"/>
                <w:szCs w:val="18"/>
                <w:lang w:val="en-US"/>
              </w:rPr>
              <w:t> sống cô đơn, con mồ côi cả cha mẹ chưa đủ 18 tuổi hoặc từ đủ 18 tuổi trở lên nếu còn tiếp tục đi học hoặc bị khuyết tật nặng, khuyết tật đặc biệt nặng của bệnh binh có tỷ lệ tổn thương cơ thể từ 61% trở lên từ trần hưởng thêm trợ cấp tuất nuôi dưỡng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1.644.000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kháng chiến bị nhiễm chất độc hoá học và thân nhân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kháng chiến bị nhiễm chất độc hoá học:</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21% - 40%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1.562.000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41% - 60%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2.610.000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61% - 80%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3.658.000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Có tỷ lệ tổn thương cơ thể từ 81%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4.685.000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kháng chiến bị nhiễm chất độc hóa học có tỷ lệ tổn thương cơ thể từ 81%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1.031.000</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kháng chiến bị nhiễm chất độc hóa học có tỷ lệ tổn thương cơ thể từ 81% trở lên có bệnh tật đặc biệt nặng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phục vụ người hoạt động kháng chiến bị nhiễm chất độc hóa học có tỷ lệ tổn thương cơ thể từ 81% trở lên sống ở gia đình</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 của người hoạt động kháng chiến bị nhiễm chất độc hoá học:</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Cha đẻ, mẹ đẻ, vợ hoặc chồng đủ tuổi theo quy định tại </w:t>
            </w:r>
            <w:bookmarkStart w:id="72" w:name="dc_25"/>
            <w:r w:rsidRPr="00C83577">
              <w:rPr>
                <w:rFonts w:ascii="Times New Roman" w:eastAsia="Times New Roman" w:hAnsi="Times New Roman" w:cs="Times New Roman"/>
                <w:noProof w:val="0"/>
                <w:color w:val="000000"/>
                <w:sz w:val="18"/>
                <w:szCs w:val="18"/>
                <w:lang w:val="en-US"/>
              </w:rPr>
              <w:t>khoản 2 Điều 169 của Bộ luật Lao động</w:t>
            </w:r>
            <w:bookmarkEnd w:id="72"/>
            <w:r w:rsidRPr="00C83577">
              <w:rPr>
                <w:rFonts w:ascii="Times New Roman" w:eastAsia="Times New Roman" w:hAnsi="Times New Roman" w:cs="Times New Roman"/>
                <w:noProof w:val="0"/>
                <w:color w:val="000000"/>
                <w:sz w:val="18"/>
                <w:szCs w:val="18"/>
                <w:lang w:val="en-US"/>
              </w:rPr>
              <w:t xml:space="preserve">, con chưa đủ 18 tuổi hoặc từ đủ 18 tuổi trở lên nếu còn tiếp tục đi học hoặc bị khuyết tật nặng, khuyết tật đặc biệt </w:t>
            </w:r>
            <w:r w:rsidRPr="00C83577">
              <w:rPr>
                <w:rFonts w:ascii="Times New Roman" w:eastAsia="Times New Roman" w:hAnsi="Times New Roman" w:cs="Times New Roman"/>
                <w:noProof w:val="0"/>
                <w:color w:val="000000"/>
                <w:sz w:val="18"/>
                <w:szCs w:val="18"/>
                <w:lang w:val="en-US"/>
              </w:rPr>
              <w:lastRenderedPageBreak/>
              <w:t>nặng của người hoạt động kháng chiến bị nhiễm chất độc hóa học có tỷ lệ tổn thương cơ thể từ 61% trở lên từ trần được hưởng trợ cấp tuất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1.153.000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Cha đẻ, mẹ đẻ sống cô đơn, vợ hoặc chồng đủ tuổi theo quy định tại </w:t>
            </w:r>
            <w:bookmarkStart w:id="73" w:name="dc_26"/>
            <w:r w:rsidRPr="00C83577">
              <w:rPr>
                <w:rFonts w:ascii="Times New Roman" w:eastAsia="Times New Roman" w:hAnsi="Times New Roman" w:cs="Times New Roman"/>
                <w:noProof w:val="0"/>
                <w:color w:val="000000"/>
                <w:sz w:val="18"/>
                <w:szCs w:val="18"/>
                <w:lang w:val="en-US"/>
              </w:rPr>
              <w:t>khoản 2 Điều 169 của Bộ luật Lao động</w:t>
            </w:r>
            <w:bookmarkEnd w:id="73"/>
            <w:r w:rsidRPr="00C83577">
              <w:rPr>
                <w:rFonts w:ascii="Times New Roman" w:eastAsia="Times New Roman" w:hAnsi="Times New Roman" w:cs="Times New Roman"/>
                <w:noProof w:val="0"/>
                <w:color w:val="000000"/>
                <w:sz w:val="18"/>
                <w:szCs w:val="18"/>
                <w:lang w:val="en-US"/>
              </w:rPr>
              <w:t> sống cô đơn, con mồ côi cả cha mẹ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trở lên từ trần được hưởng thêm trợ cấp tuất nuôi dưỡng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1.644.000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Con đẻ còn sống của người hoạt động kháng chiến bị nhiễm chất độc hóa học có tỷ lệ tổn thương cơ thể từ 61% đến 80%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1.233.000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Con đẻ còn sống của người hoạt động kháng chiến bị nhiễm chất độc hóa học có tỷ lệ tổn thương cơ thể từ 81%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kháng chiến, bảo vệ Tổ quốc, làm nghĩa vụ quốc tế bị địch bắt tù, đày</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1.233.000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có công giúp đỡ cách mạng: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được tặng hoặc người trong gia đình được tặng Kỷ niệm chương “Tổ quốc ghi công” hoặc Bằng “Có công với nước” trước cách mạng tháng Tám năm 1945 được hưởng trợ cấp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được tặng hoặc người trong gia đình được tặng Huân chương Kháng chiến được hưởng trợ cấp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1.208.000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10.3</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Trường hợp người được tặng hoặc người trong gia đình được tặng Kỷ niệm chương “Tổ quốc ghi công” hoặc Bằng “Có công với nước” trước cách mạng tháng Tám năm 1945, người được tặng hoặc người trong gia đình được tặng Huân chương Kháng chiến sống cô đơn thì được hưởng thêm trợ cấp tuất nuôi dưỡng hằng tháng</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1.644.000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Trợ cấp ưu đãi hằng tháng khi theo học tại các cơ sở phổ thông dân tộc nội trú, giáo dục nghề nghiệp, giáo dục đại học:</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11.1</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Anh hùng Lực lượng vũ trang nhân dân; Anh hùng Lao động trong thời kỳ kháng chiến; thương binh, người hưởng chính sách như thương binh, thương binh loại B; con của người hoạt động cách mạng trước ngày 01 tháng 01 năm 1945; con của người hoạt động cách mạng từ ngày 01 tháng 01 năm 1945 đến ngày khởi nghĩa tháng Tám năm 1945; thân nhân liệt sĩ; con của Anh hùng Lực lượng vũ trang nhân dân, Anh hùng Lao động trong thời kỳ kháng chiến; con của thương binh, người hưởng chính sách như thương binh, thương binh loại B, con của bệnh binh, con của người hoạt động kháng chiến bị nhiễm chất độc hoá học có tỷ lệ tổn thương cơ thể từ 61% trở lên</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2.055.000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69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11.2</w:t>
            </w:r>
          </w:p>
        </w:tc>
        <w:tc>
          <w:tcPr>
            <w:tcW w:w="514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Con của thương binh, người hưởng chính sách như thương binh, thương binh loại B có tỷ lệ tổn thương cơ thể từ 21% đến 60%; con của bệnh binh có tỷ lệ tổn thương cơ thể từ 41% đến 60%; con của người hoạt động kháng chiến bị nhiễm chất độc hoá học có tỷ lệ tổn thương cơ thể từ 21% đến 60%</w:t>
            </w:r>
          </w:p>
        </w:tc>
        <w:tc>
          <w:tcPr>
            <w:tcW w:w="14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1.031.000</w:t>
            </w:r>
          </w:p>
        </w:tc>
        <w:tc>
          <w:tcPr>
            <w:tcW w:w="15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bl>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74" w:name="chuong_pl_1"/>
      <w:r w:rsidRPr="00C83577">
        <w:rPr>
          <w:rFonts w:ascii="Times New Roman" w:eastAsia="Times New Roman" w:hAnsi="Times New Roman" w:cs="Times New Roman"/>
          <w:b/>
          <w:bCs/>
          <w:noProof w:val="0"/>
          <w:color w:val="000000"/>
          <w:sz w:val="24"/>
          <w:szCs w:val="24"/>
          <w:shd w:val="clear" w:color="auto" w:fill="FFFF96"/>
          <w:lang w:val="en-US"/>
        </w:rPr>
        <w:t>PHỤ LỤC II</w:t>
      </w:r>
      <w:bookmarkEnd w:id="74"/>
    </w:p>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75" w:name="chuong_pl_1_name"/>
      <w:r w:rsidRPr="00C83577">
        <w:rPr>
          <w:rFonts w:ascii="Times New Roman" w:eastAsia="Times New Roman" w:hAnsi="Times New Roman" w:cs="Times New Roman"/>
          <w:noProof w:val="0"/>
          <w:color w:val="000000"/>
          <w:sz w:val="18"/>
          <w:szCs w:val="18"/>
          <w:lang w:val="en-US"/>
        </w:rPr>
        <w:lastRenderedPageBreak/>
        <w:t>MỨC HƯỞNG TRỢ CẤP ƯU ĐÃI HẰNG THÁNG ĐỐI VỚI THƯƠNG BINH, NGƯỜI HƯỞNG CHÍNH SÁCH NHƯ THƯƠNG BINH</w:t>
      </w:r>
      <w:bookmarkEnd w:id="75"/>
      <w:r w:rsidRPr="00C83577">
        <w:rPr>
          <w:rFonts w:ascii="Times New Roman" w:eastAsia="Times New Roman" w:hAnsi="Times New Roman" w:cs="Times New Roman"/>
          <w:noProof w:val="0"/>
          <w:color w:val="000000"/>
          <w:sz w:val="18"/>
          <w:szCs w:val="18"/>
          <w:lang w:val="en-US"/>
        </w:rPr>
        <w:br/>
      </w:r>
      <w:r w:rsidRPr="00C83577">
        <w:rPr>
          <w:rFonts w:ascii="Times New Roman" w:eastAsia="Times New Roman" w:hAnsi="Times New Roman" w:cs="Times New Roman"/>
          <w:i/>
          <w:iCs/>
          <w:noProof w:val="0"/>
          <w:color w:val="000000"/>
          <w:sz w:val="18"/>
          <w:szCs w:val="18"/>
          <w:lang w:val="en-US"/>
        </w:rPr>
        <w:t>(Kèm theo Nghị định số 55/2023/NĐ-CP ngày 21 tháng 7 năm 2023 của Chính phủ)</w:t>
      </w:r>
    </w:p>
    <w:p w:rsidR="00C83577" w:rsidRPr="00C83577" w:rsidRDefault="00C83577" w:rsidP="00C83577">
      <w:pPr>
        <w:shd w:val="clear" w:color="auto" w:fill="FFFFFF"/>
        <w:spacing w:before="120" w:after="120" w:line="234" w:lineRule="atLeast"/>
        <w:jc w:val="righ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3"/>
        <w:gridCol w:w="1702"/>
        <w:gridCol w:w="1845"/>
        <w:gridCol w:w="1135"/>
        <w:gridCol w:w="1701"/>
        <w:gridCol w:w="1986"/>
      </w:tblGrid>
      <w:tr w:rsidR="00C83577" w:rsidRPr="00C83577" w:rsidTr="00C83577">
        <w:trPr>
          <w:tblCellSpacing w:w="0" w:type="dxa"/>
        </w:trPr>
        <w:tc>
          <w:tcPr>
            <w:tcW w:w="85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7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185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c>
          <w:tcPr>
            <w:tcW w:w="114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71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20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1.384.000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41%</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2.702.000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1.451.000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2.766.000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1.513.000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43%</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2.829.000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24%</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1.580.000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24</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2.899.000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1.648.000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45%</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2.965.000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1.712.000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3.031.000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1.777.000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47%</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3.095.000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1.846.000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3.161.000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29%</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1.908.000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29</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49%</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3.229.000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1.977.000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3.293.000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2.041.000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51%</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3.361.000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2.109.000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3.427.000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13</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33%</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2.174.000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33</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53%</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3.490.000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14</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2.240.000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54%</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3.557.000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2.308.000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55%</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3.624.000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2.371.000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56%</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3.691.000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37%</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2.435.000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37</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57%</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3.753.000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18</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2.505.000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58%</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3.821.000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19</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2.571.000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59%</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3.889.000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40%</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2.635.000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40</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60%</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3.953.000</w:t>
            </w:r>
          </w:p>
        </w:tc>
      </w:tr>
    </w:tbl>
    <w:p w:rsidR="00C83577" w:rsidRPr="00C83577" w:rsidRDefault="00C83577" w:rsidP="00C83577">
      <w:pPr>
        <w:spacing w:after="0" w:line="240" w:lineRule="auto"/>
        <w:rPr>
          <w:rFonts w:ascii="Times New Roman" w:eastAsia="Times New Roman" w:hAnsi="Times New Roman" w:cs="Times New Roman"/>
          <w:noProof w:val="0"/>
          <w:vanish/>
          <w:sz w:val="24"/>
          <w:szCs w:val="24"/>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3"/>
        <w:gridCol w:w="1702"/>
        <w:gridCol w:w="1845"/>
        <w:gridCol w:w="1135"/>
        <w:gridCol w:w="1701"/>
        <w:gridCol w:w="1986"/>
      </w:tblGrid>
      <w:tr w:rsidR="00C83577" w:rsidRPr="00C83577" w:rsidTr="00C83577">
        <w:trPr>
          <w:tblCellSpacing w:w="0" w:type="dxa"/>
        </w:trPr>
        <w:tc>
          <w:tcPr>
            <w:tcW w:w="85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7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185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c>
          <w:tcPr>
            <w:tcW w:w="114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71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20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41</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4.016.000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81%</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5.335.000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4.086.000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82%</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5.403.000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43</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63%</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4.148.000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63</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83%</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5.469.000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64%</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4.216.000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64</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84%</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5.532.000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45</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65%</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4.281.000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65</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85%</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5.601.000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66%</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4.349.000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66</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86%</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5.664.000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47</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67%</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4.414.000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67</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87%</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5.728.000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68%</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4.481.000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68</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88%</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5.796.000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49</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69%</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4.547.000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69</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89%</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5.865.000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70%</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4.611.000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70</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90%</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5.932.000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51</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71%</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4.674.000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71</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91%</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5.994.000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72%</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4.743.000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72</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92%</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6.059.000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53</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73%</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4.812.000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73</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93%</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6.127.000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54</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74%</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4.876.000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74</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94%</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6.189.000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55</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75%</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4.943.000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75</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95%</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6.260.000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56</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76%</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5.007.000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76</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96%</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6.324.000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57</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77%</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5.073.000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77</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97%</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6.388.000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58</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78%</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5.136.000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78</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98%</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6.456.000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59</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79%</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5.203.000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79</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99%</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6.522.000</w:t>
            </w:r>
          </w:p>
        </w:tc>
      </w:tr>
      <w:tr w:rsidR="00C83577" w:rsidRPr="00C83577" w:rsidTr="00C83577">
        <w:trPr>
          <w:tblCellSpacing w:w="0" w:type="dxa"/>
        </w:trPr>
        <w:tc>
          <w:tcPr>
            <w:tcW w:w="85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60</w:t>
            </w:r>
          </w:p>
        </w:tc>
        <w:tc>
          <w:tcPr>
            <w:tcW w:w="17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80%</w:t>
            </w:r>
          </w:p>
        </w:tc>
        <w:tc>
          <w:tcPr>
            <w:tcW w:w="185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5.269.000</w:t>
            </w:r>
          </w:p>
        </w:tc>
        <w:tc>
          <w:tcPr>
            <w:tcW w:w="114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80</w:t>
            </w:r>
          </w:p>
        </w:tc>
        <w:tc>
          <w:tcPr>
            <w:tcW w:w="171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100%</w:t>
            </w:r>
          </w:p>
        </w:tc>
        <w:tc>
          <w:tcPr>
            <w:tcW w:w="20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6.589.000</w:t>
            </w:r>
          </w:p>
        </w:tc>
      </w:tr>
    </w:tbl>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76" w:name="chuong_pl_2"/>
      <w:r w:rsidRPr="00C83577">
        <w:rPr>
          <w:rFonts w:ascii="Times New Roman" w:eastAsia="Times New Roman" w:hAnsi="Times New Roman" w:cs="Times New Roman"/>
          <w:b/>
          <w:bCs/>
          <w:noProof w:val="0"/>
          <w:color w:val="000000"/>
          <w:sz w:val="24"/>
          <w:szCs w:val="24"/>
          <w:shd w:val="clear" w:color="auto" w:fill="FFFF96"/>
          <w:lang w:val="en-US"/>
        </w:rPr>
        <w:t>PHỤ LỤC III</w:t>
      </w:r>
      <w:bookmarkEnd w:id="76"/>
    </w:p>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77" w:name="chuong_pl_2_name"/>
      <w:r w:rsidRPr="00C83577">
        <w:rPr>
          <w:rFonts w:ascii="Times New Roman" w:eastAsia="Times New Roman" w:hAnsi="Times New Roman" w:cs="Times New Roman"/>
          <w:noProof w:val="0"/>
          <w:color w:val="000000"/>
          <w:sz w:val="18"/>
          <w:szCs w:val="18"/>
          <w:lang w:val="en-US"/>
        </w:rPr>
        <w:t>MỨC HƯỞNG TRỢ CẤP ƯU ĐÃI HẰNG THÁNG ĐỐI VỚI THƯƠNG BINH LOẠI B</w:t>
      </w:r>
      <w:bookmarkEnd w:id="77"/>
      <w:r w:rsidRPr="00C83577">
        <w:rPr>
          <w:rFonts w:ascii="Times New Roman" w:eastAsia="Times New Roman" w:hAnsi="Times New Roman" w:cs="Times New Roman"/>
          <w:noProof w:val="0"/>
          <w:color w:val="000000"/>
          <w:sz w:val="18"/>
          <w:szCs w:val="18"/>
          <w:lang w:val="en-US"/>
        </w:rPr>
        <w:br/>
      </w:r>
      <w:r w:rsidRPr="00C83577">
        <w:rPr>
          <w:rFonts w:ascii="Times New Roman" w:eastAsia="Times New Roman" w:hAnsi="Times New Roman" w:cs="Times New Roman"/>
          <w:i/>
          <w:iCs/>
          <w:noProof w:val="0"/>
          <w:color w:val="000000"/>
          <w:sz w:val="18"/>
          <w:szCs w:val="18"/>
          <w:lang w:val="en-US"/>
        </w:rPr>
        <w:t>(Kèm theo Nghị định số 55/2023/NĐ-CP ngày 21 tháng 7 năm 2023 của Chính phủ)</w:t>
      </w:r>
    </w:p>
    <w:p w:rsidR="00C83577" w:rsidRPr="00C83577" w:rsidRDefault="00C83577" w:rsidP="00C83577">
      <w:pPr>
        <w:shd w:val="clear" w:color="auto" w:fill="FFFFFF"/>
        <w:spacing w:before="120" w:after="120" w:line="234" w:lineRule="atLeast"/>
        <w:jc w:val="righ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i/>
          <w:iCs/>
          <w:noProof w:val="0"/>
          <w:color w:val="000000"/>
          <w:sz w:val="18"/>
          <w:szCs w:val="18"/>
          <w:lang w:val="en-US"/>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3"/>
        <w:gridCol w:w="2063"/>
        <w:gridCol w:w="1695"/>
        <w:gridCol w:w="983"/>
        <w:gridCol w:w="1803"/>
        <w:gridCol w:w="1695"/>
      </w:tblGrid>
      <w:tr w:rsidR="00C83577" w:rsidRPr="00C83577" w:rsidTr="00C83577">
        <w:trPr>
          <w:tblCellSpacing w:w="0" w:type="dxa"/>
        </w:trPr>
        <w:tc>
          <w:tcPr>
            <w:tcW w:w="94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98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162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c>
          <w:tcPr>
            <w:tcW w:w="94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73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162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1.144.000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2.222.000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1.198.000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2.276.000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3</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1.249.000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2.331.000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1.306.000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24</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2.383.000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1.362.000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2.435.000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1.413.000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2.490.000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1.467.000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2.538.000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1.518.000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2.594.000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1.575.000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29</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2.647.000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1.629.000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2.702.000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1.680.000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2.757.000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1.736.000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2.807.000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13</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1.791.000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33</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2.864.000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14</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1.846.000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2.918.000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1.899.000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3.023.000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16</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1.950.000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3.076.000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17</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2.004.000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37</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3.134.000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18</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2.060.000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3.188.000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19</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2.114.000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3.239.000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2.166.000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40</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3.293.000</w:t>
            </w:r>
          </w:p>
        </w:tc>
      </w:tr>
    </w:tbl>
    <w:p w:rsidR="00C83577" w:rsidRPr="00C83577" w:rsidRDefault="00C83577" w:rsidP="00C83577">
      <w:pPr>
        <w:spacing w:after="0" w:line="240" w:lineRule="auto"/>
        <w:rPr>
          <w:rFonts w:ascii="Times New Roman" w:eastAsia="Times New Roman" w:hAnsi="Times New Roman" w:cs="Times New Roman"/>
          <w:noProof w:val="0"/>
          <w:vanish/>
          <w:sz w:val="24"/>
          <w:szCs w:val="24"/>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3"/>
        <w:gridCol w:w="2063"/>
        <w:gridCol w:w="1695"/>
        <w:gridCol w:w="983"/>
        <w:gridCol w:w="1803"/>
        <w:gridCol w:w="1695"/>
      </w:tblGrid>
      <w:tr w:rsidR="00C83577" w:rsidRPr="00C83577" w:rsidTr="00C83577">
        <w:trPr>
          <w:tblCellSpacing w:w="0" w:type="dxa"/>
        </w:trPr>
        <w:tc>
          <w:tcPr>
            <w:tcW w:w="94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98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162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c>
          <w:tcPr>
            <w:tcW w:w="94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173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Tỷ lệ tổn thương cơ thể</w:t>
            </w:r>
          </w:p>
        </w:tc>
        <w:tc>
          <w:tcPr>
            <w:tcW w:w="162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hưởng trợ cấp</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41</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3.348.000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61</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4.425.000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3.401.000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4.481.000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43</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3.457.000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63</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4.531.000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44</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3.508.000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64</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4.587.000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45</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3.563.000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65</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4.645.000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3.619.000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66</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4.695.000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47</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3.672.000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67</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4.750.000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3.723.000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68</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4.802.000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49</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3.776.000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69</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4.859.000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3.832.000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70</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4.910.000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51</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3.889.000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71</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91%</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4.964.000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3.940.000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72</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92%</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5.019.000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53</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3.995.000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73</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93%</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5.073.000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54</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4.048.000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74</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94%</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5.129.000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55</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4.105.000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75</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95%</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5.181.000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56</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4.157.000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76</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96%</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5.235.000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57</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4.209.000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77</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97%</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5.287.000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58</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4.261.000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78</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98%</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5.340.000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59</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4.318.000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79</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99%</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5.396.000</w:t>
            </w:r>
          </w:p>
        </w:tc>
      </w:tr>
      <w:tr w:rsidR="00C83577" w:rsidRPr="00C83577" w:rsidTr="00C83577">
        <w:trPr>
          <w:tblCellSpacing w:w="0" w:type="dxa"/>
        </w:trPr>
        <w:tc>
          <w:tcPr>
            <w:tcW w:w="94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60</w:t>
            </w:r>
          </w:p>
        </w:tc>
        <w:tc>
          <w:tcPr>
            <w:tcW w:w="198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4.374.000</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80</w:t>
            </w:r>
          </w:p>
        </w:tc>
        <w:tc>
          <w:tcPr>
            <w:tcW w:w="17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100%</w:t>
            </w:r>
          </w:p>
        </w:tc>
        <w:tc>
          <w:tcPr>
            <w:tcW w:w="162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5.451.000</w:t>
            </w:r>
          </w:p>
        </w:tc>
      </w:tr>
    </w:tbl>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78" w:name="chuong_pl_3"/>
      <w:r w:rsidRPr="00C83577">
        <w:rPr>
          <w:rFonts w:ascii="Times New Roman" w:eastAsia="Times New Roman" w:hAnsi="Times New Roman" w:cs="Times New Roman"/>
          <w:b/>
          <w:bCs/>
          <w:noProof w:val="0"/>
          <w:color w:val="000000"/>
          <w:sz w:val="24"/>
          <w:szCs w:val="24"/>
          <w:lang w:val="en-US"/>
        </w:rPr>
        <w:t>PHỤ LỤC IV</w:t>
      </w:r>
      <w:bookmarkEnd w:id="78"/>
    </w:p>
    <w:p w:rsidR="00C83577" w:rsidRPr="00C83577" w:rsidRDefault="00C83577" w:rsidP="00C83577">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79" w:name="chuong_pl_3_name"/>
      <w:r w:rsidRPr="00C83577">
        <w:rPr>
          <w:rFonts w:ascii="Times New Roman" w:eastAsia="Times New Roman" w:hAnsi="Times New Roman" w:cs="Times New Roman"/>
          <w:noProof w:val="0"/>
          <w:color w:val="000000"/>
          <w:sz w:val="18"/>
          <w:szCs w:val="18"/>
          <w:lang w:val="en-US"/>
        </w:rPr>
        <w:t>MỨC HƯỞNG TRỢ CẤP ƯU ĐÃI MỘT LẦN ĐỐI VỚI NGƯỜI CÓ CÔNG VỚI CÁCH MẠNG VÀ THÂN NHÂN CỦA NGƯỜI CÓ CÔNG VỚI CÁCH MẠNG</w:t>
      </w:r>
      <w:bookmarkEnd w:id="79"/>
      <w:r w:rsidRPr="00C83577">
        <w:rPr>
          <w:rFonts w:ascii="Times New Roman" w:eastAsia="Times New Roman" w:hAnsi="Times New Roman" w:cs="Times New Roman"/>
          <w:noProof w:val="0"/>
          <w:color w:val="000000"/>
          <w:sz w:val="18"/>
          <w:szCs w:val="18"/>
          <w:lang w:val="en-US"/>
        </w:rPr>
        <w:br/>
      </w:r>
      <w:r w:rsidRPr="00C83577">
        <w:rPr>
          <w:rFonts w:ascii="Times New Roman" w:eastAsia="Times New Roman" w:hAnsi="Times New Roman" w:cs="Times New Roman"/>
          <w:i/>
          <w:iCs/>
          <w:noProof w:val="0"/>
          <w:color w:val="000000"/>
          <w:sz w:val="18"/>
          <w:szCs w:val="18"/>
          <w:lang w:val="en-US"/>
        </w:rPr>
        <w:t>(Kèm theo Nghị định số 55/2023/NĐ-CP ngày 21 tháng 7 năm 2023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3"/>
        <w:gridCol w:w="6062"/>
        <w:gridCol w:w="2307"/>
      </w:tblGrid>
      <w:tr w:rsidR="00C83577" w:rsidRPr="00C83577" w:rsidTr="00C83577">
        <w:trPr>
          <w:tblCellSpacing w:w="0" w:type="dxa"/>
        </w:trPr>
        <w:tc>
          <w:tcPr>
            <w:tcW w:w="82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STT</w:t>
            </w:r>
          </w:p>
        </w:tc>
        <w:tc>
          <w:tcPr>
            <w:tcW w:w="582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Đối tượng người có công</w:t>
            </w:r>
          </w:p>
        </w:tc>
        <w:tc>
          <w:tcPr>
            <w:tcW w:w="22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b/>
                <w:bCs/>
                <w:noProof w:val="0"/>
                <w:color w:val="000000"/>
                <w:sz w:val="18"/>
                <w:szCs w:val="18"/>
                <w:lang w:val="en-US"/>
              </w:rPr>
              <w:t>Mức trợ cấp</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trước ngày 01 tháng 01 năm 1945 chết mà chưa được hưởng chế độ ưu đãi:</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1.1</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31,0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1.2</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thờ cúng</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từ ngày 01 tháng 01 năm 1945 đến ngày khởi nghĩa tháng Tám năm 1945 chết mà chưa được hưởng chế độ ưu đãi:</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2.1</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Thân nhân</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15,5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2.2</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thờ cúng</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6,2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3</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Liệt sĩ</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color w:val="000000"/>
                <w:sz w:val="18"/>
                <w:szCs w:val="18"/>
                <w:lang w:val="en-US"/>
              </w:rPr>
            </w:pPr>
          </w:p>
        </w:tc>
      </w:tr>
      <w:tr w:rsidR="00C83577" w:rsidRPr="00C83577" w:rsidTr="00C83577">
        <w:trPr>
          <w:tblCellSpacing w:w="0" w:type="dxa"/>
        </w:trPr>
        <w:tc>
          <w:tcPr>
            <w:tcW w:w="820" w:type="dxa"/>
            <w:vMerge w:val="restar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Trợ cấp một lần khi truy tặng Bằng “Tổ quốc ghi công” đối với thân nhân liệt sĩ hoặc người thừa kế của liệt sĩ</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20,0 lần mức chuẩn</w:t>
            </w:r>
          </w:p>
        </w:tc>
      </w:tr>
      <w:tr w:rsidR="00C83577" w:rsidRPr="00C83577" w:rsidTr="00C8357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83577" w:rsidRPr="00C83577" w:rsidRDefault="00C83577" w:rsidP="00C83577">
            <w:pPr>
              <w:spacing w:after="0" w:line="240" w:lineRule="auto"/>
              <w:rPr>
                <w:rFonts w:ascii="Times New Roman" w:eastAsia="Times New Roman" w:hAnsi="Times New Roman" w:cs="Times New Roman"/>
                <w:noProof w:val="0"/>
                <w:sz w:val="20"/>
                <w:szCs w:val="20"/>
                <w:lang w:val="en-US"/>
              </w:rPr>
            </w:pP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Hỗ trợ chi phí báo tử</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lastRenderedPageBreak/>
              <w:t>4</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Bà mẹ Việt Nam anh hùng được tặng danh hiệu nhưng chết mà chưa được hưởng chế độ ưu đãi hoặc được truy tặng danh hiệu “Bà mẹ Việt Nam anh hùng”</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20,0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5</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Anh hùng Lực lượng vũ trang nhân dân, Anh hùng Lao động trong thời kỳ kháng chiến được tặng danh hiệu nhưng chết mà chưa được hưởng chế độ ưu đãi hoặc được truy tặng danh hiệu “Anh hùng lực lượng vũ trang nhân dân”, “Anh hùng Lao động” trong thời kỳ kháng chiến</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20,0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6</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cách mạng , kháng chiến , bảo vệ Tổ quốc, làm nghĩa vụ quốc tế bị địch bắt tù, đày chết mà chưa được hưởng chế độ ưu đãi</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7</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kháng chiến giải phóng dân tộc, bảo vệ Tổ quốc, làm nghĩa vụ quốc tế</w:t>
            </w:r>
          </w:p>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(Trợ cấp tính theo thâm niên kháng chiến)</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0,3 lần mức chuẩn/ thâm niên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8</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có công giúp đỡ cách mạng được tặng hoặc người trong gia đình được tặng Huy chương Kháng chiến</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9</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hoạt động kháng chiến giải phóng dân tộc, bảo vệ Tổ quốc, làm nghĩa vụ quốc tế chết mà chưa được hưởng chế độ ưu đãi</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 lần mức chuẩn</w:t>
            </w:r>
          </w:p>
        </w:tc>
      </w:tr>
      <w:tr w:rsidR="00C83577" w:rsidRPr="00C83577" w:rsidTr="00C83577">
        <w:trPr>
          <w:tblCellSpacing w:w="0" w:type="dxa"/>
        </w:trPr>
        <w:tc>
          <w:tcPr>
            <w:tcW w:w="8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10</w:t>
            </w:r>
          </w:p>
        </w:tc>
        <w:tc>
          <w:tcPr>
            <w:tcW w:w="5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Người có công giúp đỡ cách mạng chết mà chưa được hưởng chế độ ưu đãi</w:t>
            </w:r>
          </w:p>
        </w:tc>
        <w:tc>
          <w:tcPr>
            <w:tcW w:w="22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83577" w:rsidRPr="00C83577" w:rsidRDefault="00C83577" w:rsidP="00C83577">
            <w:pPr>
              <w:spacing w:before="120" w:after="120" w:line="234" w:lineRule="atLeast"/>
              <w:jc w:val="center"/>
              <w:rPr>
                <w:rFonts w:ascii="Times New Roman" w:eastAsia="Times New Roman" w:hAnsi="Times New Roman" w:cs="Times New Roman"/>
                <w:noProof w:val="0"/>
                <w:color w:val="000000"/>
                <w:sz w:val="18"/>
                <w:szCs w:val="18"/>
                <w:lang w:val="en-US"/>
              </w:rPr>
            </w:pPr>
            <w:r w:rsidRPr="00C83577">
              <w:rPr>
                <w:rFonts w:ascii="Times New Roman" w:eastAsia="Times New Roman" w:hAnsi="Times New Roman" w:cs="Times New Roman"/>
                <w:noProof w:val="0"/>
                <w:color w:val="000000"/>
                <w:sz w:val="18"/>
                <w:szCs w:val="18"/>
                <w:lang w:val="en-US"/>
              </w:rPr>
              <w:t>1,5 lần mức chuẩn</w:t>
            </w:r>
          </w:p>
        </w:tc>
      </w:tr>
      <w:bookmarkEnd w:id="66"/>
    </w:tbl>
    <w:p w:rsidR="008D345E" w:rsidRPr="00C83577" w:rsidRDefault="008D345E">
      <w:pPr>
        <w:rPr>
          <w:rFonts w:ascii="Times New Roman" w:hAnsi="Times New Roman" w:cs="Times New Roman"/>
        </w:rPr>
      </w:pPr>
    </w:p>
    <w:sectPr w:rsidR="008D345E" w:rsidRPr="00C83577" w:rsidSect="001776F6">
      <w:pgSz w:w="11907" w:h="16840" w:code="9"/>
      <w:pgMar w:top="1134" w:right="96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77"/>
    <w:rsid w:val="001776F6"/>
    <w:rsid w:val="00294AAD"/>
    <w:rsid w:val="00360154"/>
    <w:rsid w:val="008D345E"/>
    <w:rsid w:val="00AD28B6"/>
    <w:rsid w:val="00BA69D6"/>
    <w:rsid w:val="00C83577"/>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DC05A-31AC-4CA4-8832-730D555C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83577"/>
  </w:style>
  <w:style w:type="paragraph" w:customStyle="1" w:styleId="msonormal0">
    <w:name w:val="msonormal"/>
    <w:basedOn w:val="Normal"/>
    <w:rsid w:val="00C8357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rmalWeb">
    <w:name w:val="Normal (Web)"/>
    <w:basedOn w:val="Normal"/>
    <w:uiPriority w:val="99"/>
    <w:semiHidden/>
    <w:unhideWhenUsed/>
    <w:rsid w:val="00C8357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semiHidden/>
    <w:unhideWhenUsed/>
    <w:rsid w:val="00C83577"/>
    <w:rPr>
      <w:color w:val="0000FF"/>
      <w:u w:val="single"/>
    </w:rPr>
  </w:style>
  <w:style w:type="character" w:styleId="FollowedHyperlink">
    <w:name w:val="FollowedHyperlink"/>
    <w:basedOn w:val="DefaultParagraphFont"/>
    <w:uiPriority w:val="99"/>
    <w:semiHidden/>
    <w:unhideWhenUsed/>
    <w:rsid w:val="00C835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ai-chinh-nha-nuoc/nghi-dinh-75-2021-nd-cp-muc-huong-tro-cap-phu-cap-che-do-uu-dai-nguoi-co-cong-voi-cach-mang-478188.aspx" TargetMode="External"/><Relationship Id="rId10" Type="http://schemas.openxmlformats.org/officeDocument/2006/relationships/customXml" Target="../customXml/item3.xml"/><Relationship Id="rId4" Type="http://schemas.openxmlformats.org/officeDocument/2006/relationships/hyperlink" Target="https://thuvienphapluat.vn/van-ban/tai-chinh-nha-nuoc/nghi-dinh-75-2021-nd-cp-muc-huong-tro-cap-phu-cap-che-do-uu-dai-nguoi-co-cong-voi-cach-mang-478188.aspx"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6CE27-A551-48C3-8A7A-F7C97ECA8DFE}"/>
</file>

<file path=customXml/itemProps2.xml><?xml version="1.0" encoding="utf-8"?>
<ds:datastoreItem xmlns:ds="http://schemas.openxmlformats.org/officeDocument/2006/customXml" ds:itemID="{670541B4-9571-4341-8683-D37CB572D7F5}"/>
</file>

<file path=customXml/itemProps3.xml><?xml version="1.0" encoding="utf-8"?>
<ds:datastoreItem xmlns:ds="http://schemas.openxmlformats.org/officeDocument/2006/customXml" ds:itemID="{67A768CC-E5F6-4063-8996-5457237FB66F}"/>
</file>

<file path=docProps/app.xml><?xml version="1.0" encoding="utf-8"?>
<Properties xmlns="http://schemas.openxmlformats.org/officeDocument/2006/extended-properties" xmlns:vt="http://schemas.openxmlformats.org/officeDocument/2006/docPropsVTypes">
  <Template>Normal</Template>
  <TotalTime>2</TotalTime>
  <Pages>13</Pages>
  <Words>4541</Words>
  <Characters>25884</Characters>
  <Application>Microsoft Office Word</Application>
  <DocSecurity>0</DocSecurity>
  <Lines>215</Lines>
  <Paragraphs>60</Paragraphs>
  <ScaleCrop>false</ScaleCrop>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2024-08-28T06:34:00Z</dcterms:created>
  <dcterms:modified xsi:type="dcterms:W3CDTF">2024-08-28T06:36:00Z</dcterms:modified>
</cp:coreProperties>
</file>