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3" w:type="dxa"/>
        <w:tblLook w:val="01E0" w:firstRow="1" w:lastRow="1" w:firstColumn="1" w:lastColumn="1" w:noHBand="0" w:noVBand="0"/>
      </w:tblPr>
      <w:tblGrid>
        <w:gridCol w:w="9273"/>
      </w:tblGrid>
      <w:tr w:rsidR="008721DF" w:rsidRPr="00B81D1F" w:rsidTr="008721DF">
        <w:trPr>
          <w:trHeight w:val="542"/>
        </w:trPr>
        <w:tc>
          <w:tcPr>
            <w:tcW w:w="9273" w:type="dxa"/>
          </w:tcPr>
          <w:p w:rsidR="008721DF" w:rsidRPr="00B81D1F" w:rsidRDefault="00385EDB" w:rsidP="00641A67">
            <w:pPr>
              <w:tabs>
                <w:tab w:val="left" w:pos="4949"/>
              </w:tabs>
              <w:jc w:val="center"/>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612775</wp:posOffset>
                      </wp:positionH>
                      <wp:positionV relativeFrom="paragraph">
                        <wp:posOffset>-386080</wp:posOffset>
                      </wp:positionV>
                      <wp:extent cx="231140" cy="230505"/>
                      <wp:effectExtent l="6985" t="10160" r="9525" b="698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305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C91A" id="Rectangle 17" o:spid="_x0000_s1026" style="position:absolute;margin-left:48.25pt;margin-top:-30.4pt;width:18.2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SnHQIAADwEAAAOAAAAZHJzL2Uyb0RvYy54bWysU9tu2zAMfR+wfxD0vvjSeG2NOEWRLsOA&#10;bivW7QMUWbaF6TZKiZN9fSk5zdLtZRjmB4E0qaPDQ3Jxs9eK7AR4aU1Di1lOiTDcttL0Df32df3m&#10;ihIfmGmZskY09CA8vVm+frUYXS1KO1jVCiAIYnw9uoYOIbg6yzwfhGZ+Zp0wGOwsaBbQhT5rgY2I&#10;rlVW5vnbbLTQOrBceI9/76YgXSb8rhM8fO46LwJRDUVuIZ2Qzk08s+WC1T0wN0h+pMH+gYVm0uCj&#10;J6g7FhjZgvwDSksO1tsuzLjVme06yUWqAasp8t+qeRyYE6kWFMe7k0z+/8HyT7sHILJtaEWJYRpb&#10;9AVFY6ZXghSXUZ/R+RrTHt0DxAq9u7f8uyfGrgZME7cAdhwEa5FVEfOzFxei4/Eq2YwfbYvwbBts&#10;kmrfgY6AKALZp44cTh0R+0A4/iwvimKOfeMYKi/yKq/SC6x+vuzAh/fCahKNhgJyT+Bsd+9DJMPq&#10;55RE3irZrqVSyYF+s1JAdgyHY52+I7o/T1OGjA29rsoqIb+I+b+D0DLglCupG3qVxy++w+qo2jvT&#10;JjswqSYbKStzlDEqN3VgY9sDqgh2GmFcOTQGCz8pGXF8G+p/bBkIStQHg524LuZRt5CceXVZogPn&#10;kc15hBmOUA0NlEzmKkw7snUg+wFfKlLtxt5i9zqZlI2dnVgdyeKIJsGP6xR34NxPWb+WfvkEAAD/&#10;/wMAUEsDBBQABgAIAAAAIQDI8vqo3wAAAAoBAAAPAAAAZHJzL2Rvd25yZXYueG1sTI9NT8JAEIbv&#10;Jv6HzZh4g60VGqndEsUaLx4Q4T5sx7ZxP5ruAsVf73DS48w8eed5i+VojTjSEDrvFNxNExDktK87&#10;1yjYfr5OHkCEiK5G4x0pOFOAZXl9VWBe+5P7oOMmNoJDXMhRQRtjn0sZdEsWw9T35Pj25QeLkceh&#10;kfWAJw63RqZJkkmLneMPLfa0akl/bw5WwRrxZf3zpvVzdX6fVbTaVeSNUrc349MjiEhj/IPhos/q&#10;ULLT3h9cHYRRsMjmTCqYZAlXuAD36QLEnjfpbA6yLOT/CuUvAAAA//8DAFBLAQItABQABgAIAAAA&#10;IQC2gziS/gAAAOEBAAATAAAAAAAAAAAAAAAAAAAAAABbQ29udGVudF9UeXBlc10ueG1sUEsBAi0A&#10;FAAGAAgAAAAhADj9If/WAAAAlAEAAAsAAAAAAAAAAAAAAAAALwEAAF9yZWxzLy5yZWxzUEsBAi0A&#10;FAAGAAgAAAAhAEiDVKcdAgAAPAQAAA4AAAAAAAAAAAAAAAAALgIAAGRycy9lMm9Eb2MueG1sUEsB&#10;Ai0AFAAGAAgAAAAhAMjy+qjfAAAACgEAAA8AAAAAAAAAAAAAAAAAdwQAAGRycy9kb3ducmV2Lnht&#10;bFBLBQYAAAAABAAEAPMAAACDBQAAAAA=&#10;" strokecolor="white"/>
                  </w:pict>
                </mc:Fallback>
              </mc:AlternateContent>
            </w:r>
            <w:r w:rsidR="008721DF" w:rsidRPr="00B81D1F">
              <w:rPr>
                <w:b/>
              </w:rPr>
              <w:t xml:space="preserve">             </w:t>
            </w:r>
            <w:r w:rsidR="008721DF">
              <w:rPr>
                <w:b/>
              </w:rPr>
              <w:t xml:space="preserve">                                           </w:t>
            </w:r>
            <w:r w:rsidR="008721DF" w:rsidRPr="00B81D1F">
              <w:rPr>
                <w:b/>
              </w:rPr>
              <w:t xml:space="preserve">  CỘNG HOÀ XÃ HỘI CHỦ NGHĨA VIỆT</w:t>
            </w:r>
            <w:r w:rsidR="008721DF">
              <w:rPr>
                <w:b/>
              </w:rPr>
              <w:t xml:space="preserve"> </w:t>
            </w:r>
            <w:r w:rsidR="008721DF" w:rsidRPr="00B81D1F">
              <w:rPr>
                <w:b/>
              </w:rPr>
              <w:t>NAM</w:t>
            </w:r>
          </w:p>
          <w:p w:rsidR="008721DF" w:rsidRPr="0057154C" w:rsidRDefault="008721DF" w:rsidP="00641A67">
            <w:pPr>
              <w:tabs>
                <w:tab w:val="left" w:pos="4949"/>
              </w:tabs>
              <w:jc w:val="center"/>
              <w:rPr>
                <w:b/>
                <w:sz w:val="26"/>
                <w:szCs w:val="26"/>
              </w:rPr>
            </w:pPr>
            <w:r>
              <w:rPr>
                <w:b/>
                <w:sz w:val="28"/>
                <w:szCs w:val="28"/>
              </w:rPr>
              <w:t xml:space="preserve">                                            </w:t>
            </w:r>
            <w:r w:rsidRPr="0057154C">
              <w:rPr>
                <w:b/>
                <w:sz w:val="26"/>
                <w:szCs w:val="26"/>
              </w:rPr>
              <w:t>Độc lập - Tự do - Hạnh phúc</w:t>
            </w:r>
          </w:p>
        </w:tc>
      </w:tr>
    </w:tbl>
    <w:p w:rsidR="00D259EC" w:rsidRDefault="00385EDB" w:rsidP="00540508">
      <w:pPr>
        <w:rPr>
          <w:b/>
          <w:sz w:val="28"/>
          <w:szCs w:val="28"/>
        </w:rPr>
      </w:pPr>
      <w:r>
        <w:rPr>
          <w:i/>
          <w:noProof/>
          <w:sz w:val="28"/>
          <w:szCs w:val="28"/>
        </w:rPr>
        <mc:AlternateContent>
          <mc:Choice Requires="wps">
            <w:drawing>
              <wp:anchor distT="0" distB="0" distL="114300" distR="114300" simplePos="0" relativeHeight="251655680" behindDoc="0" locked="0" layoutInCell="1" allowOverlap="1">
                <wp:simplePos x="0" y="0"/>
                <wp:positionH relativeFrom="column">
                  <wp:posOffset>3173095</wp:posOffset>
                </wp:positionH>
                <wp:positionV relativeFrom="paragraph">
                  <wp:posOffset>15875</wp:posOffset>
                </wp:positionV>
                <wp:extent cx="1638300" cy="0"/>
                <wp:effectExtent l="5080" t="5715" r="13970" b="1333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1997"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25pt" to="37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e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HlrTG1dARKV2NhRHz+rFPGv63SGlq5aoA48UXy8G8rKQkbxJCRtn4IJ9/1kziCFHr2Of&#10;zo3tAiR0AJ2jHJe7HPzsEYXDbD5dTF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7mN/PaAAAABwEAAA8AAABkcnMvZG93bnJldi54bWxMjsFOwzAQRO9I/IO1SFwq6hAo&#10;oSFOhYDcuFBAXLfxkkTE6zR228DXs3CB49OMZl6xmlyv9jSGzrOB83kCirj2tuPGwMtzdXYNKkRk&#10;i71nMvBJAVbl8VGBufUHfqL9OjZKRjjkaKCNcci1DnVLDsPcD8SSvfvRYRQcG21HPMi463WaJFfa&#10;Ycfy0OJAdy3VH+udMxCqV9pWX7N6lrxdNJ7S7f3jAxpzejLd3oCKNMW/MvzoizqU4rTxO7ZB9QYu&#10;l8tMqgbSBSjJs0UmvPllXRb6v3/5DQAA//8DAFBLAQItABQABgAIAAAAIQC2gziS/gAAAOEBAAAT&#10;AAAAAAAAAAAAAAAAAAAAAABbQ29udGVudF9UeXBlc10ueG1sUEsBAi0AFAAGAAgAAAAhADj9If/W&#10;AAAAlAEAAAsAAAAAAAAAAAAAAAAALwEAAF9yZWxzLy5yZWxzUEsBAi0AFAAGAAgAAAAhAPENt5UT&#10;AgAAKQQAAA4AAAAAAAAAAAAAAAAALgIAAGRycy9lMm9Eb2MueG1sUEsBAi0AFAAGAAgAAAAhAN7m&#10;N/PaAAAABwEAAA8AAAAAAAAAAAAAAAAAbQQAAGRycy9kb3ducmV2LnhtbFBLBQYAAAAABAAEAPMA&#10;AAB0BQAAAAA=&#10;"/>
            </w:pict>
          </mc:Fallback>
        </mc:AlternateContent>
      </w:r>
    </w:p>
    <w:p w:rsidR="00540508" w:rsidRDefault="00540508" w:rsidP="00540508">
      <w:pPr>
        <w:rPr>
          <w:b/>
          <w:sz w:val="28"/>
          <w:szCs w:val="28"/>
        </w:rPr>
      </w:pPr>
    </w:p>
    <w:p w:rsidR="005E37C6" w:rsidRPr="00B81D1F" w:rsidRDefault="005E37C6" w:rsidP="00B9323C">
      <w:pPr>
        <w:jc w:val="center"/>
        <w:rPr>
          <w:i/>
          <w:sz w:val="28"/>
          <w:szCs w:val="28"/>
        </w:rPr>
      </w:pPr>
      <w:r w:rsidRPr="00B81D1F">
        <w:rPr>
          <w:b/>
          <w:sz w:val="28"/>
          <w:szCs w:val="28"/>
        </w:rPr>
        <w:t>THÔNG TƯ</w:t>
      </w:r>
    </w:p>
    <w:p w:rsidR="00C556B8" w:rsidRDefault="00C556B8" w:rsidP="00C556B8">
      <w:pPr>
        <w:jc w:val="center"/>
        <w:rPr>
          <w:b/>
          <w:sz w:val="28"/>
          <w:szCs w:val="28"/>
        </w:rPr>
      </w:pPr>
      <w:r>
        <w:rPr>
          <w:b/>
          <w:sz w:val="28"/>
          <w:szCs w:val="28"/>
        </w:rPr>
        <w:t>Quy định việc</w:t>
      </w:r>
      <w:r w:rsidR="00A55540" w:rsidRPr="00F1359C">
        <w:rPr>
          <w:b/>
          <w:sz w:val="28"/>
          <w:szCs w:val="28"/>
        </w:rPr>
        <w:t xml:space="preserve"> nhập khẩu</w:t>
      </w:r>
      <w:r w:rsidR="006A5BF8" w:rsidRPr="00F1359C">
        <w:rPr>
          <w:b/>
          <w:sz w:val="28"/>
          <w:szCs w:val="28"/>
        </w:rPr>
        <w:t xml:space="preserve"> hàng hoá </w:t>
      </w:r>
      <w:r w:rsidR="00FC5EA1">
        <w:rPr>
          <w:b/>
          <w:sz w:val="28"/>
          <w:szCs w:val="28"/>
        </w:rPr>
        <w:t xml:space="preserve">phục vụ hoạt động </w:t>
      </w:r>
    </w:p>
    <w:p w:rsidR="00B811AB" w:rsidRDefault="00FC5EA1" w:rsidP="00C556B8">
      <w:pPr>
        <w:jc w:val="center"/>
        <w:rPr>
          <w:b/>
          <w:sz w:val="28"/>
          <w:szCs w:val="28"/>
        </w:rPr>
      </w:pPr>
      <w:r>
        <w:rPr>
          <w:b/>
          <w:sz w:val="28"/>
          <w:szCs w:val="28"/>
        </w:rPr>
        <w:t>in, đúc tiền của</w:t>
      </w:r>
      <w:r w:rsidR="005E37C6" w:rsidRPr="00F1359C">
        <w:rPr>
          <w:b/>
          <w:sz w:val="28"/>
          <w:szCs w:val="28"/>
        </w:rPr>
        <w:t xml:space="preserve"> </w:t>
      </w:r>
      <w:r w:rsidR="005A18C2">
        <w:rPr>
          <w:b/>
          <w:sz w:val="28"/>
          <w:szCs w:val="28"/>
        </w:rPr>
        <w:t xml:space="preserve">Ngân hàng </w:t>
      </w:r>
      <w:r w:rsidR="005E37C6" w:rsidRPr="00F1359C">
        <w:rPr>
          <w:b/>
          <w:sz w:val="28"/>
          <w:szCs w:val="28"/>
        </w:rPr>
        <w:t>Nhà nước</w:t>
      </w:r>
      <w:r w:rsidR="00B805B8" w:rsidRPr="00F1359C">
        <w:rPr>
          <w:b/>
          <w:sz w:val="28"/>
          <w:szCs w:val="28"/>
        </w:rPr>
        <w:t xml:space="preserve"> Việt Nam</w:t>
      </w:r>
    </w:p>
    <w:p w:rsidR="008721DF" w:rsidRDefault="008721DF" w:rsidP="00C556B8">
      <w:pPr>
        <w:jc w:val="center"/>
        <w:rPr>
          <w:b/>
          <w:sz w:val="28"/>
          <w:szCs w:val="28"/>
        </w:rPr>
      </w:pPr>
    </w:p>
    <w:p w:rsidR="008721DF" w:rsidRDefault="008721DF" w:rsidP="00CF76C4">
      <w:pPr>
        <w:spacing w:before="120" w:after="120" w:line="440" w:lineRule="exact"/>
        <w:jc w:val="both"/>
        <w:rPr>
          <w:sz w:val="28"/>
          <w:szCs w:val="28"/>
        </w:rPr>
      </w:pPr>
      <w:r>
        <w:rPr>
          <w:b/>
          <w:sz w:val="28"/>
          <w:szCs w:val="28"/>
        </w:rPr>
        <w:tab/>
      </w:r>
      <w:r>
        <w:rPr>
          <w:sz w:val="28"/>
          <w:szCs w:val="28"/>
        </w:rPr>
        <w:t>Thông tư số 38/2018/TT-NHNN ngày 25 tháng 12 năm 2018 của Thống đốc Ngân hàng Nhà nước Việt Nam quy định việc nhập kh</w:t>
      </w:r>
      <w:r w:rsidR="0071618B">
        <w:rPr>
          <w:sz w:val="28"/>
          <w:szCs w:val="28"/>
        </w:rPr>
        <w:t>ẩ</w:t>
      </w:r>
      <w:r>
        <w:rPr>
          <w:sz w:val="28"/>
          <w:szCs w:val="28"/>
        </w:rPr>
        <w:t>u hàng hóa phục vụ hoạt động in, đúc tiền của Ngân hàng Nhà nước Việt Nam, có hiệu lực kể từ ngày 08 tháng 02 năm 2019, được sửa đổi, bổ sung bởi:</w:t>
      </w:r>
    </w:p>
    <w:p w:rsidR="004927D2" w:rsidRDefault="008721DF" w:rsidP="00CF76C4">
      <w:pPr>
        <w:spacing w:before="120" w:after="120" w:line="440" w:lineRule="exact"/>
        <w:jc w:val="both"/>
        <w:rPr>
          <w:sz w:val="28"/>
          <w:szCs w:val="28"/>
        </w:rPr>
      </w:pPr>
      <w:r>
        <w:rPr>
          <w:sz w:val="28"/>
          <w:szCs w:val="28"/>
        </w:rPr>
        <w:tab/>
      </w:r>
      <w:r w:rsidR="002C78AF">
        <w:rPr>
          <w:sz w:val="28"/>
          <w:szCs w:val="28"/>
        </w:rPr>
        <w:t xml:space="preserve">1. </w:t>
      </w:r>
      <w:r>
        <w:rPr>
          <w:sz w:val="28"/>
          <w:szCs w:val="28"/>
        </w:rPr>
        <w:t>Thông tư số</w:t>
      </w:r>
      <w:r w:rsidR="00A143D3">
        <w:rPr>
          <w:sz w:val="28"/>
          <w:szCs w:val="28"/>
        </w:rPr>
        <w:t xml:space="preserve"> </w:t>
      </w:r>
      <w:r>
        <w:rPr>
          <w:sz w:val="28"/>
          <w:szCs w:val="28"/>
        </w:rPr>
        <w:t>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w:t>
      </w:r>
    </w:p>
    <w:p w:rsidR="008B155B" w:rsidRPr="008B155B" w:rsidRDefault="008B155B" w:rsidP="00CF76C4">
      <w:pPr>
        <w:spacing w:before="120" w:after="120" w:line="440" w:lineRule="exact"/>
        <w:jc w:val="both"/>
        <w:rPr>
          <w:sz w:val="28"/>
          <w:szCs w:val="28"/>
        </w:rPr>
      </w:pPr>
      <w:r>
        <w:rPr>
          <w:sz w:val="28"/>
          <w:szCs w:val="28"/>
        </w:rPr>
        <w:tab/>
      </w:r>
      <w:r w:rsidR="002C78AF">
        <w:rPr>
          <w:sz w:val="28"/>
          <w:szCs w:val="28"/>
        </w:rPr>
        <w:t xml:space="preserve">2. </w:t>
      </w:r>
      <w:r w:rsidRPr="008B155B">
        <w:rPr>
          <w:sz w:val="28"/>
          <w:szCs w:val="28"/>
        </w:rPr>
        <w:t xml:space="preserve">Thông tư số 07/2023/TT-NHNN ngày 30 tháng 6 năm 2023 của Thống đốc Ngân hàng Nhà nước Việt Nam sửa đổi, bổ sung một số điều của </w:t>
      </w:r>
      <w:r w:rsidRPr="008B155B">
        <w:rPr>
          <w:sz w:val="28"/>
          <w:szCs w:val="28"/>
          <w:lang w:val="da-DK"/>
        </w:rPr>
        <w:t>Thông tư số 38/2018/TT-NHNN ngày 25 tháng 12 năm 2018 của Thống đốc Ngân hàng Nhà nước Việt Nam quy định việc nhập khẩu hàng hóa phục vụ hoạt động in, đúc tiền của Ngân hàng Nhà nước Việt Nam</w:t>
      </w:r>
      <w:r>
        <w:rPr>
          <w:sz w:val="28"/>
          <w:szCs w:val="28"/>
        </w:rPr>
        <w:t>, có hiệu lực kể từ ngày 14 tháng 8 năm 2023.</w:t>
      </w:r>
    </w:p>
    <w:p w:rsidR="00A73E2E" w:rsidRPr="00E0529D" w:rsidRDefault="00A73E2E" w:rsidP="00CF76C4">
      <w:pPr>
        <w:pStyle w:val="ListBullet"/>
        <w:spacing w:after="120" w:line="440" w:lineRule="exact"/>
      </w:pPr>
      <w:r w:rsidRPr="00E0529D">
        <w:t>Căn cứ Luật Ngân hàng Nhà nước Việt Nam ngày 16 tháng 6 năm 2010;</w:t>
      </w:r>
    </w:p>
    <w:p w:rsidR="004927D2" w:rsidRDefault="004927D2" w:rsidP="00CF76C4">
      <w:pPr>
        <w:spacing w:before="120" w:after="120" w:line="440" w:lineRule="exact"/>
        <w:ind w:firstLine="720"/>
        <w:jc w:val="both"/>
        <w:rPr>
          <w:i/>
          <w:sz w:val="28"/>
          <w:szCs w:val="28"/>
        </w:rPr>
      </w:pPr>
      <w:r w:rsidRPr="00B81D1F">
        <w:rPr>
          <w:i/>
          <w:sz w:val="28"/>
          <w:szCs w:val="28"/>
        </w:rPr>
        <w:t xml:space="preserve">Căn cứ Nghị định số </w:t>
      </w:r>
      <w:r w:rsidR="00FC5EA1">
        <w:rPr>
          <w:i/>
          <w:sz w:val="28"/>
          <w:szCs w:val="28"/>
        </w:rPr>
        <w:t>69</w:t>
      </w:r>
      <w:r w:rsidRPr="00B81D1F">
        <w:rPr>
          <w:i/>
          <w:sz w:val="28"/>
          <w:szCs w:val="28"/>
        </w:rPr>
        <w:t>/20</w:t>
      </w:r>
      <w:r w:rsidR="00B811AB" w:rsidRPr="00B81D1F">
        <w:rPr>
          <w:i/>
          <w:sz w:val="28"/>
          <w:szCs w:val="28"/>
        </w:rPr>
        <w:t>1</w:t>
      </w:r>
      <w:r w:rsidR="00FC5EA1">
        <w:rPr>
          <w:i/>
          <w:sz w:val="28"/>
          <w:szCs w:val="28"/>
        </w:rPr>
        <w:t>8</w:t>
      </w:r>
      <w:r w:rsidRPr="00B81D1F">
        <w:rPr>
          <w:i/>
          <w:sz w:val="28"/>
          <w:szCs w:val="28"/>
        </w:rPr>
        <w:t>/NĐ-CP ngày</w:t>
      </w:r>
      <w:r w:rsidR="00B811AB" w:rsidRPr="00B81D1F">
        <w:rPr>
          <w:i/>
          <w:sz w:val="28"/>
          <w:szCs w:val="28"/>
        </w:rPr>
        <w:t xml:space="preserve"> </w:t>
      </w:r>
      <w:r w:rsidR="00FC5EA1">
        <w:rPr>
          <w:i/>
          <w:sz w:val="28"/>
          <w:szCs w:val="28"/>
        </w:rPr>
        <w:t>15 tháng 5</w:t>
      </w:r>
      <w:r w:rsidR="0096242E" w:rsidRPr="00B81D1F">
        <w:rPr>
          <w:i/>
          <w:sz w:val="28"/>
          <w:szCs w:val="28"/>
        </w:rPr>
        <w:t xml:space="preserve"> năm 201</w:t>
      </w:r>
      <w:r w:rsidR="00FC5EA1">
        <w:rPr>
          <w:i/>
          <w:sz w:val="28"/>
          <w:szCs w:val="28"/>
        </w:rPr>
        <w:t>8</w:t>
      </w:r>
      <w:r w:rsidR="0096242E" w:rsidRPr="00B81D1F">
        <w:rPr>
          <w:i/>
          <w:sz w:val="28"/>
          <w:szCs w:val="28"/>
        </w:rPr>
        <w:t xml:space="preserve"> </w:t>
      </w:r>
      <w:r w:rsidRPr="00B81D1F">
        <w:rPr>
          <w:i/>
          <w:sz w:val="28"/>
          <w:szCs w:val="28"/>
        </w:rPr>
        <w:t xml:space="preserve">của Chính phủ quy định chi tiết </w:t>
      </w:r>
      <w:r w:rsidR="00FC5EA1">
        <w:rPr>
          <w:i/>
          <w:sz w:val="28"/>
          <w:szCs w:val="28"/>
        </w:rPr>
        <w:t>một số điều của Luật Quản lý ngoại thương</w:t>
      </w:r>
      <w:r w:rsidR="00F2257A" w:rsidRPr="00B81D1F">
        <w:rPr>
          <w:i/>
          <w:sz w:val="28"/>
          <w:szCs w:val="28"/>
        </w:rPr>
        <w:t>;</w:t>
      </w:r>
    </w:p>
    <w:p w:rsidR="00FC5EA1" w:rsidRPr="00B81D1F" w:rsidRDefault="00FC5EA1" w:rsidP="00CF76C4">
      <w:pPr>
        <w:spacing w:before="120" w:after="120" w:line="440" w:lineRule="exact"/>
        <w:ind w:firstLine="720"/>
        <w:jc w:val="both"/>
        <w:rPr>
          <w:i/>
          <w:sz w:val="28"/>
          <w:szCs w:val="28"/>
        </w:rPr>
      </w:pPr>
      <w:r w:rsidRPr="00B81D1F">
        <w:rPr>
          <w:i/>
          <w:sz w:val="28"/>
          <w:szCs w:val="28"/>
        </w:rPr>
        <w:t>Căn cứ Nghị định số 16/201</w:t>
      </w:r>
      <w:r w:rsidR="00654046">
        <w:rPr>
          <w:i/>
          <w:sz w:val="28"/>
          <w:szCs w:val="28"/>
        </w:rPr>
        <w:t>7/NĐ-CP ngày 17</w:t>
      </w:r>
      <w:r w:rsidRPr="00B81D1F">
        <w:rPr>
          <w:i/>
          <w:sz w:val="28"/>
          <w:szCs w:val="28"/>
        </w:rPr>
        <w:t xml:space="preserve"> tháng </w:t>
      </w:r>
      <w:r w:rsidR="00654046">
        <w:rPr>
          <w:i/>
          <w:sz w:val="28"/>
          <w:szCs w:val="28"/>
        </w:rPr>
        <w:t>02</w:t>
      </w:r>
      <w:r w:rsidRPr="00B81D1F">
        <w:rPr>
          <w:i/>
          <w:sz w:val="28"/>
          <w:szCs w:val="28"/>
        </w:rPr>
        <w:t xml:space="preserve"> năm 201</w:t>
      </w:r>
      <w:r w:rsidR="00654046">
        <w:rPr>
          <w:i/>
          <w:sz w:val="28"/>
          <w:szCs w:val="28"/>
        </w:rPr>
        <w:t>7</w:t>
      </w:r>
      <w:r w:rsidRPr="00B81D1F">
        <w:rPr>
          <w:i/>
          <w:sz w:val="28"/>
          <w:szCs w:val="28"/>
        </w:rPr>
        <w:t xml:space="preserve"> của Chính phủ quy định chức năng, nhiệm vụ, quyền hạn và cơ cấu tổ chức của Ngân hàng Nhà nước Việt Nam;</w:t>
      </w:r>
    </w:p>
    <w:p w:rsidR="00CF76C4" w:rsidRDefault="003F35E8" w:rsidP="00CF76C4">
      <w:pPr>
        <w:spacing w:before="120" w:after="120" w:line="440" w:lineRule="exact"/>
        <w:jc w:val="both"/>
        <w:rPr>
          <w:i/>
          <w:sz w:val="28"/>
          <w:szCs w:val="28"/>
        </w:rPr>
      </w:pPr>
      <w:r w:rsidRPr="00B81D1F">
        <w:rPr>
          <w:i/>
          <w:sz w:val="28"/>
          <w:szCs w:val="28"/>
        </w:rPr>
        <w:tab/>
      </w:r>
      <w:r w:rsidR="001C036F" w:rsidRPr="00B81D1F">
        <w:rPr>
          <w:i/>
          <w:sz w:val="28"/>
          <w:szCs w:val="28"/>
        </w:rPr>
        <w:t>Theo đề nghị của Cục trưởng Cục Phát hành và Kho quỹ</w:t>
      </w:r>
      <w:r w:rsidR="00654046">
        <w:rPr>
          <w:i/>
          <w:sz w:val="28"/>
          <w:szCs w:val="28"/>
        </w:rPr>
        <w:t>;</w:t>
      </w:r>
    </w:p>
    <w:p w:rsidR="00A143D3" w:rsidRPr="00CF76C4" w:rsidRDefault="00CF76C4" w:rsidP="00CF76C4">
      <w:pPr>
        <w:spacing w:before="120" w:line="360" w:lineRule="exact"/>
        <w:jc w:val="both"/>
        <w:rPr>
          <w:i/>
          <w:sz w:val="28"/>
          <w:szCs w:val="28"/>
        </w:rPr>
      </w:pPr>
      <w:r>
        <w:rPr>
          <w:i/>
          <w:sz w:val="28"/>
          <w:szCs w:val="28"/>
        </w:rPr>
        <w:lastRenderedPageBreak/>
        <w:tab/>
      </w:r>
      <w:r w:rsidR="001C036F" w:rsidRPr="00B938D0">
        <w:rPr>
          <w:i/>
          <w:sz w:val="28"/>
          <w:szCs w:val="28"/>
        </w:rPr>
        <w:t xml:space="preserve">Thống đốc </w:t>
      </w:r>
      <w:r w:rsidR="004927D2" w:rsidRPr="00B938D0">
        <w:rPr>
          <w:i/>
          <w:sz w:val="28"/>
          <w:szCs w:val="28"/>
        </w:rPr>
        <w:t xml:space="preserve">Ngân hàng Nhà nước Việt Nam </w:t>
      </w:r>
      <w:r w:rsidR="001C036F" w:rsidRPr="00B938D0">
        <w:rPr>
          <w:i/>
          <w:sz w:val="28"/>
          <w:szCs w:val="28"/>
        </w:rPr>
        <w:t xml:space="preserve">ban hành Thông tư </w:t>
      </w:r>
      <w:r w:rsidR="002D110A" w:rsidRPr="00B938D0">
        <w:rPr>
          <w:i/>
          <w:sz w:val="28"/>
          <w:szCs w:val="28"/>
        </w:rPr>
        <w:t xml:space="preserve">quy định việc </w:t>
      </w:r>
      <w:r w:rsidR="00654046" w:rsidRPr="00B938D0">
        <w:rPr>
          <w:i/>
          <w:sz w:val="28"/>
          <w:szCs w:val="28"/>
        </w:rPr>
        <w:t xml:space="preserve">nhập khẩu hàng hoá phục vụ hoạt động in, đúc tiền của </w:t>
      </w:r>
      <w:r w:rsidR="00970964" w:rsidRPr="00B938D0">
        <w:rPr>
          <w:i/>
          <w:sz w:val="28"/>
          <w:szCs w:val="28"/>
        </w:rPr>
        <w:t xml:space="preserve">Ngân hàng </w:t>
      </w:r>
      <w:r w:rsidR="00654046" w:rsidRPr="00B938D0">
        <w:rPr>
          <w:i/>
          <w:sz w:val="28"/>
          <w:szCs w:val="28"/>
        </w:rPr>
        <w:t>Nhà nước Việt Nam</w:t>
      </w:r>
      <w:r w:rsidR="0071618B">
        <w:rPr>
          <w:i/>
          <w:sz w:val="28"/>
          <w:szCs w:val="28"/>
        </w:rPr>
        <w:t>.</w:t>
      </w:r>
      <w:r w:rsidR="008721DF">
        <w:rPr>
          <w:rStyle w:val="FootnoteReference"/>
          <w:i/>
          <w:sz w:val="28"/>
          <w:szCs w:val="28"/>
        </w:rPr>
        <w:footnoteReference w:id="1"/>
      </w:r>
      <w:r w:rsidR="008B155B">
        <w:rPr>
          <w:i/>
          <w:sz w:val="28"/>
          <w:szCs w:val="28"/>
          <w:vertAlign w:val="superscript"/>
        </w:rPr>
        <w:t>,</w:t>
      </w:r>
      <w:r w:rsidR="008B155B">
        <w:rPr>
          <w:rStyle w:val="FootnoteReference"/>
          <w:i/>
          <w:sz w:val="28"/>
          <w:szCs w:val="28"/>
        </w:rPr>
        <w:footnoteReference w:id="2"/>
      </w:r>
    </w:p>
    <w:p w:rsidR="001C036F" w:rsidRDefault="001C036F" w:rsidP="00CF76C4">
      <w:pPr>
        <w:spacing w:before="120" w:line="360" w:lineRule="exact"/>
        <w:ind w:left="720"/>
        <w:jc w:val="both"/>
        <w:rPr>
          <w:b/>
          <w:sz w:val="28"/>
          <w:szCs w:val="28"/>
        </w:rPr>
      </w:pPr>
      <w:r w:rsidRPr="00B81D1F">
        <w:rPr>
          <w:b/>
          <w:sz w:val="28"/>
          <w:szCs w:val="28"/>
        </w:rPr>
        <w:t>Điều 1. Phạm vi điều chỉnh</w:t>
      </w:r>
    </w:p>
    <w:p w:rsidR="00A808C4" w:rsidRPr="000F7DB8" w:rsidRDefault="00A808C4" w:rsidP="00CF76C4">
      <w:pPr>
        <w:pStyle w:val="ListParagraph"/>
        <w:spacing w:before="120" w:line="360" w:lineRule="exact"/>
        <w:ind w:left="0" w:firstLine="720"/>
        <w:contextualSpacing w:val="0"/>
        <w:jc w:val="both"/>
        <w:rPr>
          <w:sz w:val="28"/>
          <w:szCs w:val="28"/>
          <w:lang w:val="nl-NL"/>
        </w:rPr>
      </w:pPr>
      <w:r w:rsidRPr="00A808C4">
        <w:rPr>
          <w:sz w:val="28"/>
          <w:szCs w:val="28"/>
          <w:lang w:val="nl-NL"/>
        </w:rPr>
        <w:t>Thông tư này quy định việc nhập khẩu hàng hóa phục vụ hoạt động in, đúc tiền của Ngân hàng Nhà nướ</w:t>
      </w:r>
      <w:r>
        <w:rPr>
          <w:sz w:val="28"/>
          <w:szCs w:val="28"/>
          <w:lang w:val="nl-NL"/>
        </w:rPr>
        <w:t>c</w:t>
      </w:r>
      <w:r w:rsidR="00FD76EF">
        <w:rPr>
          <w:sz w:val="28"/>
          <w:szCs w:val="28"/>
          <w:lang w:val="nl-NL"/>
        </w:rPr>
        <w:t xml:space="preserve"> Việt Nam (sau đây gọi tắt là Ngân hàng Nhà nước)</w:t>
      </w:r>
      <w:r w:rsidRPr="00A808C4">
        <w:rPr>
          <w:sz w:val="28"/>
          <w:szCs w:val="28"/>
          <w:lang w:val="nl-NL"/>
        </w:rPr>
        <w:t xml:space="preserve"> </w:t>
      </w:r>
      <w:r w:rsidRPr="000F7DB8">
        <w:rPr>
          <w:sz w:val="28"/>
          <w:szCs w:val="28"/>
          <w:lang w:val="nl-NL"/>
        </w:rPr>
        <w:t xml:space="preserve">theo phương thức chỉ định thương nhân được quy định tại Phụ lục II </w:t>
      </w:r>
      <w:r w:rsidR="008071EA">
        <w:rPr>
          <w:sz w:val="28"/>
          <w:szCs w:val="28"/>
          <w:lang w:val="nl-NL"/>
        </w:rPr>
        <w:t xml:space="preserve">ban hành kèm theo </w:t>
      </w:r>
      <w:r w:rsidRPr="000F7DB8">
        <w:rPr>
          <w:sz w:val="28"/>
          <w:szCs w:val="28"/>
          <w:lang w:val="nl-NL"/>
        </w:rPr>
        <w:t>Nghị định</w:t>
      </w:r>
      <w:r w:rsidR="003C03F8" w:rsidRPr="000F7DB8">
        <w:rPr>
          <w:sz w:val="28"/>
          <w:szCs w:val="28"/>
          <w:lang w:val="nl-NL"/>
        </w:rPr>
        <w:t xml:space="preserve"> số</w:t>
      </w:r>
      <w:r w:rsidRPr="000F7DB8">
        <w:rPr>
          <w:sz w:val="28"/>
          <w:szCs w:val="28"/>
          <w:lang w:val="nl-NL"/>
        </w:rPr>
        <w:t xml:space="preserve"> 69/2018/NĐ-CP ngày 15 tháng 5 năm 2018 của Chính phủ quy định chi tiết một số điều của Luật Quản lý ngoại thương.</w:t>
      </w:r>
    </w:p>
    <w:p w:rsidR="007A54BB" w:rsidRPr="00E770C3" w:rsidRDefault="007A54BB" w:rsidP="00CF76C4">
      <w:pPr>
        <w:spacing w:before="120" w:line="360" w:lineRule="exact"/>
        <w:ind w:firstLine="720"/>
        <w:jc w:val="both"/>
        <w:rPr>
          <w:b/>
          <w:sz w:val="28"/>
          <w:szCs w:val="28"/>
          <w:lang w:val="nl-NL"/>
        </w:rPr>
      </w:pPr>
      <w:r w:rsidRPr="00E770C3">
        <w:rPr>
          <w:b/>
          <w:sz w:val="28"/>
          <w:szCs w:val="28"/>
          <w:lang w:val="nl-NL"/>
        </w:rPr>
        <w:t>Điều 2. Đối tượng áp dụng</w:t>
      </w:r>
    </w:p>
    <w:p w:rsidR="0057454A" w:rsidRPr="00E770C3" w:rsidRDefault="00A808C4" w:rsidP="00CF76C4">
      <w:pPr>
        <w:spacing w:before="120" w:line="360" w:lineRule="exact"/>
        <w:ind w:firstLine="720"/>
        <w:jc w:val="both"/>
        <w:rPr>
          <w:spacing w:val="-2"/>
          <w:sz w:val="28"/>
          <w:szCs w:val="28"/>
          <w:lang w:val="nl-NL"/>
        </w:rPr>
      </w:pPr>
      <w:r w:rsidRPr="00E770C3">
        <w:rPr>
          <w:spacing w:val="-2"/>
          <w:sz w:val="28"/>
          <w:szCs w:val="28"/>
          <w:lang w:val="nl-NL"/>
        </w:rPr>
        <w:lastRenderedPageBreak/>
        <w:t xml:space="preserve">1. </w:t>
      </w:r>
      <w:r w:rsidR="00D55DAB" w:rsidRPr="00E770C3">
        <w:rPr>
          <w:spacing w:val="-2"/>
          <w:sz w:val="28"/>
          <w:szCs w:val="28"/>
          <w:lang w:val="nl-NL"/>
        </w:rPr>
        <w:t>Thương nhân</w:t>
      </w:r>
      <w:r w:rsidR="00E7256D" w:rsidRPr="00E770C3">
        <w:rPr>
          <w:spacing w:val="-2"/>
          <w:sz w:val="28"/>
          <w:szCs w:val="28"/>
          <w:lang w:val="nl-NL"/>
        </w:rPr>
        <w:t xml:space="preserve"> là c</w:t>
      </w:r>
      <w:r w:rsidRPr="00E770C3">
        <w:rPr>
          <w:spacing w:val="-2"/>
          <w:sz w:val="28"/>
          <w:szCs w:val="28"/>
          <w:lang w:val="nl-NL"/>
        </w:rPr>
        <w:t xml:space="preserve">ơ sở in, đúc tiền </w:t>
      </w:r>
      <w:r w:rsidR="0057454A" w:rsidRPr="00E770C3">
        <w:rPr>
          <w:spacing w:val="-2"/>
          <w:sz w:val="28"/>
          <w:szCs w:val="28"/>
          <w:lang w:val="nl-NL"/>
        </w:rPr>
        <w:t>được chỉ định để thực hiện việc in, đúc tiền theo hợp đồng giữa Ngân hàng Nhà nước với cơ sở in, đúc tiền.</w:t>
      </w:r>
    </w:p>
    <w:p w:rsidR="00A808C4" w:rsidRPr="00E770C3" w:rsidRDefault="00A808C4" w:rsidP="00CF76C4">
      <w:pPr>
        <w:tabs>
          <w:tab w:val="left" w:pos="720"/>
        </w:tabs>
        <w:spacing w:before="120" w:line="360" w:lineRule="exact"/>
        <w:jc w:val="both"/>
        <w:rPr>
          <w:sz w:val="28"/>
          <w:szCs w:val="28"/>
          <w:lang w:val="nl-NL"/>
        </w:rPr>
      </w:pPr>
      <w:r w:rsidRPr="00E770C3">
        <w:rPr>
          <w:sz w:val="28"/>
          <w:szCs w:val="28"/>
          <w:lang w:val="nl-NL"/>
        </w:rPr>
        <w:tab/>
      </w:r>
      <w:r w:rsidR="00B32E75" w:rsidRPr="00E770C3">
        <w:rPr>
          <w:sz w:val="28"/>
          <w:szCs w:val="28"/>
          <w:lang w:val="nl-NL"/>
        </w:rPr>
        <w:t xml:space="preserve">2. </w:t>
      </w:r>
      <w:r w:rsidRPr="00E770C3">
        <w:rPr>
          <w:sz w:val="28"/>
          <w:szCs w:val="28"/>
          <w:lang w:val="nl-NL"/>
        </w:rPr>
        <w:t>Ngân hàng Nhà nước</w:t>
      </w:r>
      <w:r w:rsidR="00707B47" w:rsidRPr="00E770C3">
        <w:rPr>
          <w:sz w:val="28"/>
          <w:szCs w:val="28"/>
          <w:lang w:val="nl-NL"/>
        </w:rPr>
        <w:t>;</w:t>
      </w:r>
      <w:r w:rsidR="0057454A" w:rsidRPr="00E770C3">
        <w:rPr>
          <w:sz w:val="28"/>
          <w:szCs w:val="28"/>
          <w:lang w:val="nl-NL"/>
        </w:rPr>
        <w:t xml:space="preserve"> </w:t>
      </w:r>
      <w:r w:rsidRPr="00E770C3">
        <w:rPr>
          <w:sz w:val="28"/>
          <w:szCs w:val="28"/>
          <w:lang w:val="nl-NL"/>
        </w:rPr>
        <w:t xml:space="preserve">cơ quan, tổ chức và </w:t>
      </w:r>
      <w:r w:rsidR="00707B47" w:rsidRPr="00E770C3">
        <w:rPr>
          <w:sz w:val="28"/>
          <w:szCs w:val="28"/>
          <w:lang w:val="nl-NL"/>
        </w:rPr>
        <w:t>cá nhân</w:t>
      </w:r>
      <w:r w:rsidR="0057454A" w:rsidRPr="00E770C3">
        <w:rPr>
          <w:sz w:val="28"/>
          <w:szCs w:val="28"/>
          <w:lang w:val="nl-NL"/>
        </w:rPr>
        <w:t xml:space="preserve"> </w:t>
      </w:r>
      <w:r w:rsidRPr="00E770C3">
        <w:rPr>
          <w:sz w:val="28"/>
          <w:szCs w:val="28"/>
          <w:lang w:val="nl-NL"/>
        </w:rPr>
        <w:t xml:space="preserve">có liên quan đến </w:t>
      </w:r>
      <w:r w:rsidR="00707B47" w:rsidRPr="00E770C3">
        <w:rPr>
          <w:sz w:val="28"/>
          <w:szCs w:val="28"/>
          <w:lang w:val="nl-NL"/>
        </w:rPr>
        <w:t>việc</w:t>
      </w:r>
      <w:r w:rsidRPr="00E770C3">
        <w:rPr>
          <w:sz w:val="28"/>
          <w:szCs w:val="28"/>
          <w:lang w:val="nl-NL"/>
        </w:rPr>
        <w:t xml:space="preserve"> nhập khẩu hàng hóa phục vụ hoạt động in, đúc tiền của Ngân hàng Nhà nước.</w:t>
      </w:r>
    </w:p>
    <w:p w:rsidR="00245FF9" w:rsidRPr="00E770C3" w:rsidRDefault="00E8023B" w:rsidP="00CF76C4">
      <w:pPr>
        <w:tabs>
          <w:tab w:val="left" w:pos="720"/>
        </w:tabs>
        <w:spacing w:before="120" w:line="360" w:lineRule="exact"/>
        <w:jc w:val="both"/>
        <w:rPr>
          <w:b/>
          <w:sz w:val="28"/>
          <w:szCs w:val="28"/>
          <w:lang w:val="nl-NL"/>
        </w:rPr>
      </w:pPr>
      <w:r w:rsidRPr="00E770C3">
        <w:rPr>
          <w:b/>
          <w:sz w:val="28"/>
          <w:szCs w:val="28"/>
          <w:lang w:val="nl-NL"/>
        </w:rPr>
        <w:tab/>
      </w:r>
      <w:r w:rsidR="00704BBD" w:rsidRPr="00E770C3">
        <w:rPr>
          <w:b/>
          <w:sz w:val="28"/>
          <w:szCs w:val="28"/>
          <w:lang w:val="nl-NL"/>
        </w:rPr>
        <w:t>Điều 3</w:t>
      </w:r>
      <w:r w:rsidR="00357F56" w:rsidRPr="00E770C3">
        <w:rPr>
          <w:b/>
          <w:sz w:val="28"/>
          <w:szCs w:val="28"/>
          <w:lang w:val="nl-NL"/>
        </w:rPr>
        <w:t xml:space="preserve">. </w:t>
      </w:r>
      <w:r w:rsidR="00274DE5" w:rsidRPr="00E770C3">
        <w:rPr>
          <w:b/>
          <w:sz w:val="28"/>
          <w:szCs w:val="28"/>
          <w:lang w:val="nl-NL"/>
        </w:rPr>
        <w:t>Hình thức</w:t>
      </w:r>
      <w:r w:rsidR="001D45BC" w:rsidRPr="00E770C3">
        <w:rPr>
          <w:b/>
          <w:sz w:val="28"/>
          <w:szCs w:val="28"/>
          <w:lang w:val="nl-NL"/>
        </w:rPr>
        <w:t xml:space="preserve"> nhập khẩu</w:t>
      </w:r>
    </w:p>
    <w:p w:rsidR="006D2C86" w:rsidRPr="00E770C3" w:rsidRDefault="00245FF9" w:rsidP="00CF76C4">
      <w:pPr>
        <w:spacing w:before="120" w:line="360" w:lineRule="exact"/>
        <w:jc w:val="both"/>
        <w:rPr>
          <w:sz w:val="28"/>
          <w:szCs w:val="28"/>
          <w:lang w:val="nl-NL"/>
        </w:rPr>
      </w:pPr>
      <w:r w:rsidRPr="00E770C3">
        <w:rPr>
          <w:sz w:val="28"/>
          <w:szCs w:val="28"/>
          <w:lang w:val="nl-NL"/>
        </w:rPr>
        <w:tab/>
      </w:r>
      <w:r w:rsidR="006D2C86" w:rsidRPr="00E770C3">
        <w:rPr>
          <w:sz w:val="28"/>
          <w:szCs w:val="28"/>
          <w:lang w:val="nl-NL"/>
        </w:rPr>
        <w:t xml:space="preserve">1. </w:t>
      </w:r>
      <w:r w:rsidR="00274DE5" w:rsidRPr="00E770C3">
        <w:rPr>
          <w:sz w:val="28"/>
          <w:szCs w:val="28"/>
          <w:lang w:val="nl-NL"/>
        </w:rPr>
        <w:t xml:space="preserve">Danh mục hàng hóa </w:t>
      </w:r>
      <w:r w:rsidR="00705636" w:rsidRPr="00E770C3">
        <w:rPr>
          <w:sz w:val="28"/>
          <w:szCs w:val="28"/>
          <w:lang w:val="nl-NL"/>
        </w:rPr>
        <w:t xml:space="preserve">chỉ định </w:t>
      </w:r>
      <w:r w:rsidR="008E1E0E" w:rsidRPr="00E770C3">
        <w:rPr>
          <w:sz w:val="28"/>
          <w:szCs w:val="28"/>
          <w:lang w:val="nl-NL"/>
        </w:rPr>
        <w:t>cơ sở</w:t>
      </w:r>
      <w:r w:rsidR="00705636" w:rsidRPr="00E770C3">
        <w:rPr>
          <w:sz w:val="28"/>
          <w:szCs w:val="28"/>
          <w:lang w:val="nl-NL"/>
        </w:rPr>
        <w:t xml:space="preserve"> in</w:t>
      </w:r>
      <w:r w:rsidR="008E1E0E" w:rsidRPr="00E770C3">
        <w:rPr>
          <w:sz w:val="28"/>
          <w:szCs w:val="28"/>
          <w:lang w:val="nl-NL"/>
        </w:rPr>
        <w:t>,</w:t>
      </w:r>
      <w:r w:rsidR="00705636" w:rsidRPr="00E770C3">
        <w:rPr>
          <w:sz w:val="28"/>
          <w:szCs w:val="28"/>
          <w:lang w:val="nl-NL"/>
        </w:rPr>
        <w:t xml:space="preserve"> đúc tiền </w:t>
      </w:r>
      <w:r w:rsidR="00274DE5" w:rsidRPr="00E770C3">
        <w:rPr>
          <w:sz w:val="28"/>
          <w:szCs w:val="28"/>
          <w:lang w:val="nl-NL"/>
        </w:rPr>
        <w:t>nhập khẩu</w:t>
      </w:r>
      <w:r w:rsidR="00B32E75" w:rsidRPr="00E770C3">
        <w:rPr>
          <w:sz w:val="28"/>
          <w:szCs w:val="28"/>
          <w:lang w:val="nl-NL"/>
        </w:rPr>
        <w:t xml:space="preserve"> </w:t>
      </w:r>
      <w:r w:rsidR="00274DE5" w:rsidRPr="00E770C3">
        <w:rPr>
          <w:sz w:val="28"/>
          <w:szCs w:val="28"/>
          <w:lang w:val="nl-NL"/>
        </w:rPr>
        <w:t>phục vụ hoạt động in, đúc tiền của Ngân hàng Nhà nước được quy định tại Phụ lục ban hành kèm theo Thông tư này.</w:t>
      </w:r>
    </w:p>
    <w:p w:rsidR="00B32E75" w:rsidRPr="00E770C3" w:rsidRDefault="006D2C86" w:rsidP="00CF76C4">
      <w:pPr>
        <w:tabs>
          <w:tab w:val="left" w:pos="720"/>
        </w:tabs>
        <w:spacing w:before="120" w:line="360" w:lineRule="exact"/>
        <w:jc w:val="both"/>
        <w:rPr>
          <w:b/>
          <w:sz w:val="28"/>
          <w:szCs w:val="28"/>
          <w:lang w:val="nl-NL"/>
        </w:rPr>
      </w:pPr>
      <w:r w:rsidRPr="00E770C3">
        <w:rPr>
          <w:sz w:val="28"/>
          <w:szCs w:val="28"/>
          <w:lang w:val="nl-NL"/>
        </w:rPr>
        <w:tab/>
        <w:t xml:space="preserve">2. Ngân hàng Nhà nước </w:t>
      </w:r>
      <w:r w:rsidR="00704BBD" w:rsidRPr="00E770C3">
        <w:rPr>
          <w:sz w:val="28"/>
          <w:szCs w:val="28"/>
          <w:lang w:val="nl-NL"/>
        </w:rPr>
        <w:t xml:space="preserve">có văn bản </w:t>
      </w:r>
      <w:r w:rsidRPr="00E770C3">
        <w:rPr>
          <w:sz w:val="28"/>
          <w:szCs w:val="28"/>
          <w:lang w:val="nl-NL"/>
        </w:rPr>
        <w:t xml:space="preserve">chỉ định </w:t>
      </w:r>
      <w:r w:rsidR="00704BBD" w:rsidRPr="00E770C3">
        <w:rPr>
          <w:sz w:val="28"/>
          <w:szCs w:val="28"/>
          <w:lang w:val="nl-NL"/>
        </w:rPr>
        <w:t xml:space="preserve">và cho phép </w:t>
      </w:r>
      <w:r w:rsidRPr="00E770C3">
        <w:rPr>
          <w:sz w:val="28"/>
          <w:szCs w:val="28"/>
          <w:lang w:val="nl-NL"/>
        </w:rPr>
        <w:t xml:space="preserve">cơ sở in, đúc tiền </w:t>
      </w:r>
      <w:r w:rsidR="00704BBD" w:rsidRPr="00E770C3">
        <w:rPr>
          <w:sz w:val="28"/>
          <w:szCs w:val="28"/>
          <w:lang w:val="nl-NL"/>
        </w:rPr>
        <w:t>được nhập khẩu</w:t>
      </w:r>
      <w:r w:rsidRPr="00E770C3">
        <w:rPr>
          <w:sz w:val="28"/>
          <w:szCs w:val="28"/>
          <w:lang w:val="nl-NL"/>
        </w:rPr>
        <w:t xml:space="preserve"> </w:t>
      </w:r>
      <w:r w:rsidR="00705636" w:rsidRPr="00E770C3">
        <w:rPr>
          <w:sz w:val="28"/>
          <w:szCs w:val="28"/>
          <w:lang w:val="nl-NL"/>
        </w:rPr>
        <w:t>hàng hóa</w:t>
      </w:r>
      <w:r w:rsidRPr="00E770C3">
        <w:rPr>
          <w:sz w:val="28"/>
          <w:szCs w:val="28"/>
          <w:lang w:val="nl-NL"/>
        </w:rPr>
        <w:t xml:space="preserve"> quy định</w:t>
      </w:r>
      <w:r w:rsidR="003C03F8" w:rsidRPr="00E770C3">
        <w:rPr>
          <w:sz w:val="28"/>
          <w:szCs w:val="28"/>
          <w:lang w:val="nl-NL"/>
        </w:rPr>
        <w:t xml:space="preserve"> tại k</w:t>
      </w:r>
      <w:r w:rsidRPr="00E770C3">
        <w:rPr>
          <w:sz w:val="28"/>
          <w:szCs w:val="28"/>
          <w:lang w:val="nl-NL"/>
        </w:rPr>
        <w:t>hoản 1</w:t>
      </w:r>
      <w:r w:rsidRPr="00E770C3">
        <w:rPr>
          <w:sz w:val="26"/>
          <w:szCs w:val="26"/>
          <w:lang w:val="nl-NL"/>
        </w:rPr>
        <w:t xml:space="preserve"> </w:t>
      </w:r>
      <w:r w:rsidR="002122A6" w:rsidRPr="00E770C3">
        <w:rPr>
          <w:sz w:val="28"/>
          <w:szCs w:val="28"/>
          <w:lang w:val="nl-NL"/>
        </w:rPr>
        <w:t xml:space="preserve">Điều </w:t>
      </w:r>
      <w:r w:rsidR="00C256B6" w:rsidRPr="00E770C3">
        <w:rPr>
          <w:sz w:val="28"/>
          <w:szCs w:val="28"/>
          <w:lang w:val="nl-NL"/>
        </w:rPr>
        <w:t>này</w:t>
      </w:r>
      <w:r w:rsidRPr="00E770C3">
        <w:rPr>
          <w:sz w:val="28"/>
          <w:szCs w:val="28"/>
          <w:lang w:val="nl-NL"/>
        </w:rPr>
        <w:t>.</w:t>
      </w:r>
      <w:r w:rsidR="00FB4C47" w:rsidRPr="00E770C3">
        <w:rPr>
          <w:b/>
          <w:sz w:val="28"/>
          <w:szCs w:val="28"/>
          <w:lang w:val="nl-NL"/>
        </w:rPr>
        <w:tab/>
      </w:r>
    </w:p>
    <w:p w:rsidR="002C78AF" w:rsidRDefault="00E84B2F" w:rsidP="002C78AF">
      <w:pPr>
        <w:pStyle w:val="ListParagraph"/>
        <w:spacing w:before="120" w:line="288" w:lineRule="auto"/>
        <w:ind w:left="0" w:firstLine="851"/>
        <w:contextualSpacing w:val="0"/>
        <w:jc w:val="both"/>
        <w:rPr>
          <w:sz w:val="28"/>
          <w:szCs w:val="28"/>
        </w:rPr>
      </w:pPr>
      <w:r w:rsidRPr="00E770C3">
        <w:rPr>
          <w:b/>
          <w:sz w:val="28"/>
          <w:szCs w:val="28"/>
          <w:lang w:val="nl-NL"/>
        </w:rPr>
        <w:t xml:space="preserve">Điều </w:t>
      </w:r>
      <w:r w:rsidR="00B71E8D" w:rsidRPr="00E770C3">
        <w:rPr>
          <w:b/>
          <w:sz w:val="28"/>
          <w:szCs w:val="28"/>
          <w:lang w:val="nl-NL"/>
        </w:rPr>
        <w:t>4</w:t>
      </w:r>
      <w:r w:rsidR="006827B1" w:rsidRPr="00E770C3">
        <w:rPr>
          <w:b/>
          <w:sz w:val="28"/>
          <w:szCs w:val="28"/>
          <w:lang w:val="nl-NL"/>
        </w:rPr>
        <w:t xml:space="preserve">. </w:t>
      </w:r>
      <w:r w:rsidR="002C78AF" w:rsidRPr="0076188F">
        <w:rPr>
          <w:b/>
          <w:sz w:val="28"/>
          <w:szCs w:val="28"/>
        </w:rPr>
        <w:t>Nhập khẩu hàng hóa</w:t>
      </w:r>
      <w:r w:rsidR="002C78AF">
        <w:rPr>
          <w:rStyle w:val="FootnoteReference"/>
          <w:b/>
          <w:sz w:val="28"/>
          <w:szCs w:val="28"/>
        </w:rPr>
        <w:footnoteReference w:id="3"/>
      </w:r>
    </w:p>
    <w:p w:rsidR="002C78AF" w:rsidRDefault="002C78AF" w:rsidP="002C78AF">
      <w:pPr>
        <w:pStyle w:val="ListParagraph"/>
        <w:spacing w:before="120" w:line="288" w:lineRule="auto"/>
        <w:ind w:left="0" w:firstLine="851"/>
        <w:contextualSpacing w:val="0"/>
        <w:jc w:val="both"/>
        <w:rPr>
          <w:sz w:val="28"/>
          <w:szCs w:val="28"/>
        </w:rPr>
      </w:pPr>
      <w:r>
        <w:rPr>
          <w:sz w:val="28"/>
          <w:szCs w:val="28"/>
        </w:rPr>
        <w:t>1. Trên cơ sở văn bản chỉ định và cho phép cơ sở in, đúc tiền được nhập khẩu hàng hóa phục vụ hoạt động in, đúc tiền quy định tại khoản 2 Điều 3 Thông tư này, cơ sở in, đúc tiền thực hiện việc nhập khẩu hàng hóa phục vụ hoạt động in, đúc tiền quy định tại</w:t>
      </w:r>
      <w:r w:rsidRPr="004C0038">
        <w:rPr>
          <w:sz w:val="28"/>
          <w:szCs w:val="28"/>
        </w:rPr>
        <w:t xml:space="preserve"> </w:t>
      </w:r>
      <w:r>
        <w:rPr>
          <w:sz w:val="28"/>
          <w:szCs w:val="28"/>
        </w:rPr>
        <w:t xml:space="preserve">Phụ lục Danh mục </w:t>
      </w:r>
      <w:r w:rsidRPr="00B95049">
        <w:rPr>
          <w:sz w:val="28"/>
          <w:szCs w:val="28"/>
        </w:rPr>
        <w:t>hàng hóa chỉ định cơ sở in, đúc tiền nhập khẩu phục vụ hoạt động in, đúc tiền của Ngân hàng Nhà nước Việt Nam</w:t>
      </w:r>
      <w:r>
        <w:rPr>
          <w:sz w:val="28"/>
          <w:szCs w:val="28"/>
        </w:rPr>
        <w:t xml:space="preserve"> ban hành kèm theo Thông tư này</w:t>
      </w:r>
      <w:r w:rsidRPr="00B95049">
        <w:rPr>
          <w:sz w:val="28"/>
          <w:szCs w:val="28"/>
        </w:rPr>
        <w:t xml:space="preserve"> </w:t>
      </w:r>
      <w:r>
        <w:rPr>
          <w:sz w:val="28"/>
          <w:szCs w:val="28"/>
        </w:rPr>
        <w:t>như sau:</w:t>
      </w:r>
    </w:p>
    <w:p w:rsidR="002C78AF" w:rsidRDefault="002C78AF" w:rsidP="002C78AF">
      <w:pPr>
        <w:pStyle w:val="ListParagraph"/>
        <w:spacing w:before="120" w:line="288" w:lineRule="auto"/>
        <w:ind w:left="0" w:firstLine="851"/>
        <w:contextualSpacing w:val="0"/>
        <w:jc w:val="both"/>
        <w:rPr>
          <w:sz w:val="28"/>
          <w:szCs w:val="28"/>
        </w:rPr>
      </w:pPr>
      <w:r>
        <w:rPr>
          <w:sz w:val="28"/>
          <w:szCs w:val="28"/>
        </w:rPr>
        <w:t>a) Đối với hàng hóa thuộc mục có số thứ tự 1, 2, 3, 5: Cơ sở in, đúc tiền căn cứ hợp đồng in, đúc tiền giữa cơ sở in, đúc tiền với Ngân hàng Nhà nước để thực hiện việc nhập khẩu hàng hóa;</w:t>
      </w:r>
    </w:p>
    <w:p w:rsidR="002C78AF" w:rsidRDefault="002C78AF" w:rsidP="002C78AF">
      <w:pPr>
        <w:pStyle w:val="ListParagraph"/>
        <w:spacing w:before="120" w:line="288" w:lineRule="auto"/>
        <w:ind w:left="0" w:firstLine="851"/>
        <w:contextualSpacing w:val="0"/>
        <w:jc w:val="both"/>
        <w:rPr>
          <w:sz w:val="28"/>
          <w:szCs w:val="28"/>
        </w:rPr>
      </w:pPr>
      <w:r>
        <w:rPr>
          <w:sz w:val="28"/>
          <w:szCs w:val="28"/>
        </w:rPr>
        <w:t xml:space="preserve">b) Đối với hàng hóa thuộc mục có số thứ tự 4, 6, 7: Cơ sở in, đúc tiền căn cứ </w:t>
      </w:r>
      <w:r w:rsidRPr="009C10A2">
        <w:rPr>
          <w:sz w:val="28"/>
          <w:szCs w:val="28"/>
        </w:rPr>
        <w:t>văn bản phê duyệt chủ trương đầu tư, quyết định đầu tư</w:t>
      </w:r>
      <w:r>
        <w:rPr>
          <w:sz w:val="28"/>
          <w:szCs w:val="28"/>
        </w:rPr>
        <w:t xml:space="preserve"> của cấp</w:t>
      </w:r>
      <w:r w:rsidRPr="009C10A2">
        <w:rPr>
          <w:sz w:val="28"/>
          <w:szCs w:val="28"/>
        </w:rPr>
        <w:t xml:space="preserve"> có thẩm quyền</w:t>
      </w:r>
      <w:r>
        <w:rPr>
          <w:sz w:val="28"/>
          <w:szCs w:val="28"/>
        </w:rPr>
        <w:t xml:space="preserve"> </w:t>
      </w:r>
      <w:r w:rsidRPr="009C10A2">
        <w:rPr>
          <w:sz w:val="28"/>
          <w:szCs w:val="28"/>
        </w:rPr>
        <w:t>theo quy định tại Điề</w:t>
      </w:r>
      <w:r>
        <w:rPr>
          <w:sz w:val="28"/>
          <w:szCs w:val="28"/>
        </w:rPr>
        <w:t xml:space="preserve">u 4 Thông tư số 07/2020/TT-NHNN </w:t>
      </w:r>
      <w:r w:rsidRPr="009C10A2">
        <w:rPr>
          <w:sz w:val="28"/>
          <w:szCs w:val="28"/>
        </w:rPr>
        <w:t>ngày 30/6/2020 của Thống đốc Ngân hàng Nhà nước Việt Nam quy định việc đầu tư, mua sắm hàng hóa phục vụ hoạt động in, đúc tiền của Ngân hàng Nhà nước Việt Nam</w:t>
      </w:r>
      <w:r>
        <w:rPr>
          <w:sz w:val="28"/>
          <w:szCs w:val="28"/>
        </w:rPr>
        <w:t xml:space="preserve"> để thực hiện việc nhập khẩu hàng hóa.</w:t>
      </w:r>
    </w:p>
    <w:p w:rsidR="002C78AF" w:rsidRDefault="002C78AF" w:rsidP="002C78AF">
      <w:pPr>
        <w:pStyle w:val="ListParagraph"/>
        <w:spacing w:before="120" w:line="288" w:lineRule="auto"/>
        <w:ind w:left="0" w:firstLine="851"/>
        <w:contextualSpacing w:val="0"/>
        <w:jc w:val="both"/>
        <w:rPr>
          <w:sz w:val="28"/>
          <w:szCs w:val="28"/>
        </w:rPr>
      </w:pPr>
      <w:r>
        <w:rPr>
          <w:sz w:val="28"/>
          <w:szCs w:val="28"/>
        </w:rPr>
        <w:t xml:space="preserve">2. Thống đốc Ngân hàng Nhà nước ủy quyền Cục trưởng Cục Phát hành và Kho quỹ có văn bản xác nhận việc cơ sở in, đúc tiền nhập khẩu hàng hóa phục vụ hoạt động in, đúc tiền của Ngân hàng Nhà nước theo hợp đồng mua bán hàng </w:t>
      </w:r>
      <w:r>
        <w:rPr>
          <w:sz w:val="28"/>
          <w:szCs w:val="28"/>
        </w:rPr>
        <w:lastRenderedPageBreak/>
        <w:t>hóa hoặc các hình thức văn bản khác giữa cơ sở in, đúc tiền và đơn vị cung cấp hàng hóa.</w:t>
      </w:r>
    </w:p>
    <w:p w:rsidR="00F32E7A" w:rsidRPr="000F7DB8" w:rsidRDefault="002C78AF" w:rsidP="002C78AF">
      <w:pPr>
        <w:tabs>
          <w:tab w:val="left" w:pos="720"/>
        </w:tabs>
        <w:spacing w:before="120" w:after="120" w:line="360" w:lineRule="exact"/>
        <w:jc w:val="both"/>
        <w:rPr>
          <w:spacing w:val="-2"/>
          <w:sz w:val="28"/>
          <w:szCs w:val="28"/>
        </w:rPr>
      </w:pPr>
      <w:r>
        <w:rPr>
          <w:sz w:val="28"/>
          <w:szCs w:val="28"/>
        </w:rPr>
        <w:tab/>
        <w:t xml:space="preserve">3. Khi làm thủ tục nhập khẩu, cơ sở in, đúc tiền gửi Cơ quan hải quan 01 bản chính văn bản xác nhận của Ngân hàng Nhà nước kèm </w:t>
      </w:r>
      <w:r w:rsidRPr="00FA2C1F">
        <w:rPr>
          <w:sz w:val="28"/>
          <w:szCs w:val="28"/>
        </w:rPr>
        <w:t>hồ sơ hải quan theo quy định pháp luật</w:t>
      </w:r>
      <w:r>
        <w:rPr>
          <w:sz w:val="28"/>
          <w:szCs w:val="28"/>
        </w:rPr>
        <w:t>.</w:t>
      </w:r>
    </w:p>
    <w:p w:rsidR="00041C75" w:rsidRPr="00E770C3" w:rsidRDefault="00E84B2F" w:rsidP="00A143D3">
      <w:pPr>
        <w:pStyle w:val="NormalWeb"/>
        <w:shd w:val="clear" w:color="auto" w:fill="FFFFFF"/>
        <w:spacing w:before="120" w:after="120" w:line="360" w:lineRule="exact"/>
        <w:ind w:firstLine="720"/>
        <w:jc w:val="both"/>
        <w:rPr>
          <w:b/>
          <w:sz w:val="28"/>
          <w:szCs w:val="28"/>
        </w:rPr>
      </w:pPr>
      <w:r w:rsidRPr="007F5F0B">
        <w:rPr>
          <w:b/>
          <w:sz w:val="28"/>
          <w:szCs w:val="28"/>
        </w:rPr>
        <w:t xml:space="preserve">Điều </w:t>
      </w:r>
      <w:r w:rsidR="006B493C" w:rsidRPr="00E770C3">
        <w:rPr>
          <w:b/>
          <w:sz w:val="28"/>
          <w:szCs w:val="28"/>
        </w:rPr>
        <w:t>5</w:t>
      </w:r>
      <w:r w:rsidR="00041C75" w:rsidRPr="007F5F0B">
        <w:rPr>
          <w:b/>
          <w:sz w:val="28"/>
          <w:szCs w:val="28"/>
        </w:rPr>
        <w:t>. Trách nhiệm của Cục Phát hành và Kho quỹ</w:t>
      </w:r>
    </w:p>
    <w:p w:rsidR="00A75931" w:rsidRPr="00C556B8" w:rsidRDefault="00570551" w:rsidP="00A143D3">
      <w:pPr>
        <w:spacing w:before="120" w:after="120" w:line="360" w:lineRule="exact"/>
        <w:ind w:firstLine="720"/>
        <w:jc w:val="both"/>
        <w:rPr>
          <w:sz w:val="28"/>
          <w:szCs w:val="28"/>
          <w:lang w:val="vi-VN"/>
        </w:rPr>
      </w:pPr>
      <w:r w:rsidRPr="00C556B8">
        <w:rPr>
          <w:sz w:val="28"/>
          <w:szCs w:val="28"/>
          <w:lang w:val="vi-VN"/>
        </w:rPr>
        <w:t>1.</w:t>
      </w:r>
      <w:r w:rsidR="003C03F8" w:rsidRPr="003C03F8">
        <w:rPr>
          <w:sz w:val="28"/>
          <w:szCs w:val="28"/>
          <w:lang w:val="vi-VN"/>
        </w:rPr>
        <w:t xml:space="preserve"> </w:t>
      </w:r>
      <w:r w:rsidR="00C556B8" w:rsidRPr="00C556B8">
        <w:rPr>
          <w:sz w:val="28"/>
          <w:szCs w:val="28"/>
          <w:lang w:val="vi-VN"/>
        </w:rPr>
        <w:t>Kiểm tra, t</w:t>
      </w:r>
      <w:r w:rsidR="00041C75" w:rsidRPr="00C556B8">
        <w:rPr>
          <w:sz w:val="28"/>
          <w:szCs w:val="28"/>
          <w:lang w:val="vi-VN"/>
        </w:rPr>
        <w:t xml:space="preserve">heo dõi và quản lý việc sử dụng hàng hóa </w:t>
      </w:r>
      <w:r w:rsidR="00B71E8D" w:rsidRPr="00C556B8">
        <w:rPr>
          <w:sz w:val="28"/>
          <w:szCs w:val="28"/>
          <w:lang w:val="vi-VN"/>
        </w:rPr>
        <w:t xml:space="preserve">nhập khẩu </w:t>
      </w:r>
      <w:r w:rsidR="00C556B8" w:rsidRPr="00C556B8">
        <w:rPr>
          <w:sz w:val="28"/>
          <w:szCs w:val="28"/>
          <w:lang w:val="vi-VN"/>
        </w:rPr>
        <w:t xml:space="preserve">phục vụ hoạt động in, đúc tiền </w:t>
      </w:r>
      <w:r w:rsidR="002F53C5" w:rsidRPr="002F53C5">
        <w:rPr>
          <w:sz w:val="28"/>
          <w:szCs w:val="28"/>
          <w:lang w:val="vi-VN"/>
        </w:rPr>
        <w:t>của</w:t>
      </w:r>
      <w:r w:rsidR="00B71E8D" w:rsidRPr="00C556B8">
        <w:rPr>
          <w:sz w:val="28"/>
          <w:szCs w:val="28"/>
          <w:lang w:val="vi-VN"/>
        </w:rPr>
        <w:t xml:space="preserve"> </w:t>
      </w:r>
      <w:r w:rsidR="00274DE5" w:rsidRPr="00C556B8">
        <w:rPr>
          <w:sz w:val="28"/>
          <w:szCs w:val="28"/>
          <w:lang w:val="vi-VN"/>
        </w:rPr>
        <w:t>cơ sở in, đúc tiền</w:t>
      </w:r>
      <w:r w:rsidR="002F53C5" w:rsidRPr="002F53C5">
        <w:rPr>
          <w:sz w:val="28"/>
          <w:szCs w:val="28"/>
          <w:lang w:val="vi-VN"/>
        </w:rPr>
        <w:t>.</w:t>
      </w:r>
      <w:r w:rsidR="00215C0F" w:rsidRPr="00C556B8">
        <w:rPr>
          <w:sz w:val="28"/>
          <w:szCs w:val="28"/>
          <w:lang w:val="vi-VN"/>
        </w:rPr>
        <w:tab/>
      </w:r>
    </w:p>
    <w:p w:rsidR="00A143D3" w:rsidRPr="00E770C3" w:rsidRDefault="00570551" w:rsidP="00A143D3">
      <w:pPr>
        <w:spacing w:before="120" w:after="120" w:line="360" w:lineRule="exact"/>
        <w:ind w:firstLine="720"/>
        <w:jc w:val="both"/>
        <w:rPr>
          <w:sz w:val="28"/>
          <w:szCs w:val="28"/>
          <w:lang w:val="vi-VN"/>
        </w:rPr>
      </w:pPr>
      <w:r w:rsidRPr="000F7DB8">
        <w:rPr>
          <w:sz w:val="28"/>
          <w:szCs w:val="28"/>
          <w:lang w:val="vi-VN"/>
        </w:rPr>
        <w:t xml:space="preserve">2. Thực hiện các trách nhiệm khác theo quy định tại </w:t>
      </w:r>
      <w:r w:rsidR="003663E1" w:rsidRPr="000F7DB8">
        <w:rPr>
          <w:sz w:val="28"/>
          <w:szCs w:val="28"/>
          <w:lang w:val="vi-VN"/>
        </w:rPr>
        <w:t xml:space="preserve">Điều 4 </w:t>
      </w:r>
      <w:r w:rsidRPr="000F7DB8">
        <w:rPr>
          <w:sz w:val="28"/>
          <w:szCs w:val="28"/>
          <w:lang w:val="vi-VN"/>
        </w:rPr>
        <w:t>Thông tư này.</w:t>
      </w:r>
    </w:p>
    <w:p w:rsidR="00215C0F" w:rsidRPr="00E770C3" w:rsidRDefault="00215C0F" w:rsidP="00A143D3">
      <w:pPr>
        <w:spacing w:before="120" w:after="120" w:line="360" w:lineRule="exact"/>
        <w:ind w:firstLine="720"/>
        <w:jc w:val="both"/>
        <w:rPr>
          <w:b/>
          <w:sz w:val="28"/>
          <w:szCs w:val="28"/>
          <w:lang w:val="vi-VN"/>
        </w:rPr>
      </w:pPr>
      <w:r w:rsidRPr="00E770C3">
        <w:rPr>
          <w:b/>
          <w:sz w:val="28"/>
          <w:szCs w:val="28"/>
          <w:lang w:val="vi-VN"/>
        </w:rPr>
        <w:t xml:space="preserve">Điều </w:t>
      </w:r>
      <w:r w:rsidR="006B493C" w:rsidRPr="00E770C3">
        <w:rPr>
          <w:b/>
          <w:sz w:val="28"/>
          <w:szCs w:val="28"/>
          <w:lang w:val="vi-VN"/>
        </w:rPr>
        <w:t>6</w:t>
      </w:r>
      <w:r w:rsidR="00245FF9" w:rsidRPr="00E770C3">
        <w:rPr>
          <w:b/>
          <w:sz w:val="28"/>
          <w:szCs w:val="28"/>
          <w:lang w:val="vi-VN"/>
        </w:rPr>
        <w:t xml:space="preserve">. </w:t>
      </w:r>
      <w:r w:rsidRPr="00E770C3">
        <w:rPr>
          <w:b/>
          <w:sz w:val="28"/>
          <w:szCs w:val="28"/>
          <w:lang w:val="vi-VN"/>
        </w:rPr>
        <w:t xml:space="preserve">Trách nhiệm của </w:t>
      </w:r>
      <w:r w:rsidR="0077046E" w:rsidRPr="00E770C3">
        <w:rPr>
          <w:b/>
          <w:sz w:val="28"/>
          <w:szCs w:val="28"/>
          <w:lang w:val="vi-VN"/>
        </w:rPr>
        <w:t>cơ sở in, đúc tiền</w:t>
      </w:r>
    </w:p>
    <w:p w:rsidR="00215C0F" w:rsidRPr="00E770C3" w:rsidRDefault="00215C0F" w:rsidP="00A143D3">
      <w:pPr>
        <w:spacing w:before="120" w:after="120" w:line="360" w:lineRule="exact"/>
        <w:jc w:val="both"/>
        <w:rPr>
          <w:sz w:val="28"/>
          <w:szCs w:val="28"/>
          <w:lang w:val="vi-VN"/>
        </w:rPr>
      </w:pPr>
      <w:r w:rsidRPr="00E770C3">
        <w:rPr>
          <w:sz w:val="28"/>
          <w:szCs w:val="28"/>
          <w:lang w:val="vi-VN"/>
        </w:rPr>
        <w:tab/>
        <w:t>1. Thực hiện nhập khẩu đúng số lượng, chấ</w:t>
      </w:r>
      <w:r w:rsidR="008071EA" w:rsidRPr="00E770C3">
        <w:rPr>
          <w:sz w:val="28"/>
          <w:szCs w:val="28"/>
          <w:lang w:val="vi-VN"/>
        </w:rPr>
        <w:t xml:space="preserve">t lượng, </w:t>
      </w:r>
      <w:r w:rsidR="00B71E8D" w:rsidRPr="00E770C3">
        <w:rPr>
          <w:sz w:val="28"/>
          <w:szCs w:val="28"/>
          <w:lang w:val="vi-VN"/>
        </w:rPr>
        <w:t>chủng loại hàng hoá và</w:t>
      </w:r>
      <w:r w:rsidRPr="00E770C3">
        <w:rPr>
          <w:sz w:val="28"/>
          <w:szCs w:val="28"/>
          <w:lang w:val="vi-VN"/>
        </w:rPr>
        <w:t xml:space="preserve"> tuân thủ các quy định </w:t>
      </w:r>
      <w:r w:rsidR="00041C75" w:rsidRPr="00E770C3">
        <w:rPr>
          <w:sz w:val="28"/>
          <w:szCs w:val="28"/>
          <w:lang w:val="vi-VN"/>
        </w:rPr>
        <w:t>của pháp luật</w:t>
      </w:r>
      <w:r w:rsidRPr="00E770C3">
        <w:rPr>
          <w:sz w:val="28"/>
          <w:szCs w:val="28"/>
          <w:lang w:val="vi-VN"/>
        </w:rPr>
        <w:t xml:space="preserve"> về nhập khẩu hàng hoá.</w:t>
      </w:r>
    </w:p>
    <w:p w:rsidR="00215C0F" w:rsidRPr="00E770C3" w:rsidRDefault="00215C0F" w:rsidP="00A143D3">
      <w:pPr>
        <w:spacing w:before="120" w:after="120" w:line="360" w:lineRule="exact"/>
        <w:jc w:val="both"/>
        <w:rPr>
          <w:sz w:val="28"/>
          <w:szCs w:val="28"/>
          <w:lang w:val="vi-VN"/>
        </w:rPr>
      </w:pPr>
      <w:r w:rsidRPr="00E770C3">
        <w:rPr>
          <w:sz w:val="28"/>
          <w:szCs w:val="28"/>
          <w:lang w:val="vi-VN"/>
        </w:rPr>
        <w:tab/>
        <w:t xml:space="preserve">2. </w:t>
      </w:r>
      <w:r w:rsidR="00C556B8" w:rsidRPr="00E770C3">
        <w:rPr>
          <w:sz w:val="28"/>
          <w:szCs w:val="28"/>
          <w:lang w:val="vi-VN"/>
        </w:rPr>
        <w:t>Cơ sở in, đúc tiền</w:t>
      </w:r>
      <w:r w:rsidRPr="00E770C3">
        <w:rPr>
          <w:sz w:val="28"/>
          <w:szCs w:val="28"/>
          <w:lang w:val="vi-VN"/>
        </w:rPr>
        <w:t xml:space="preserve"> phải sử dụng hàng hoá đã nhập khẩu</w:t>
      </w:r>
      <w:r w:rsidR="00AF7B53" w:rsidRPr="00E770C3">
        <w:rPr>
          <w:sz w:val="28"/>
          <w:szCs w:val="28"/>
          <w:lang w:val="vi-VN"/>
        </w:rPr>
        <w:t xml:space="preserve"> đúng mục đích</w:t>
      </w:r>
      <w:r w:rsidRPr="00E770C3">
        <w:rPr>
          <w:sz w:val="28"/>
          <w:szCs w:val="28"/>
          <w:lang w:val="vi-VN"/>
        </w:rPr>
        <w:t>.</w:t>
      </w:r>
    </w:p>
    <w:p w:rsidR="002A72B1" w:rsidRDefault="00EE1D0D" w:rsidP="00A143D3">
      <w:pPr>
        <w:tabs>
          <w:tab w:val="left" w:pos="720"/>
        </w:tabs>
        <w:spacing w:before="120" w:after="120" w:line="360" w:lineRule="exact"/>
        <w:jc w:val="both"/>
        <w:rPr>
          <w:sz w:val="28"/>
          <w:szCs w:val="28"/>
          <w:lang w:val="it-IT"/>
        </w:rPr>
      </w:pPr>
      <w:r w:rsidRPr="00E770C3">
        <w:rPr>
          <w:sz w:val="28"/>
          <w:szCs w:val="28"/>
          <w:lang w:val="vi-VN"/>
        </w:rPr>
        <w:tab/>
      </w:r>
      <w:r w:rsidR="002A72B1" w:rsidRPr="00E770C3">
        <w:rPr>
          <w:sz w:val="28"/>
          <w:szCs w:val="28"/>
          <w:lang w:val="vi-VN"/>
        </w:rPr>
        <w:t>3.</w:t>
      </w:r>
      <w:r w:rsidR="002A72B1">
        <w:rPr>
          <w:rStyle w:val="FootnoteReference"/>
          <w:sz w:val="28"/>
          <w:szCs w:val="28"/>
        </w:rPr>
        <w:footnoteReference w:id="4"/>
      </w:r>
      <w:r w:rsidR="002A72B1" w:rsidRPr="002C1FF1">
        <w:rPr>
          <w:sz w:val="28"/>
          <w:szCs w:val="28"/>
          <w:lang w:val="it-IT"/>
        </w:rPr>
        <w:t xml:space="preserve"> Định kỳ h</w:t>
      </w:r>
      <w:r w:rsidR="002A72B1">
        <w:rPr>
          <w:sz w:val="28"/>
          <w:szCs w:val="28"/>
          <w:lang w:val="it-IT"/>
        </w:rPr>
        <w:t>ằ</w:t>
      </w:r>
      <w:r w:rsidR="002A72B1" w:rsidRPr="002C1FF1">
        <w:rPr>
          <w:sz w:val="28"/>
          <w:szCs w:val="28"/>
          <w:lang w:val="it-IT"/>
        </w:rPr>
        <w:t>ng quý (chậm nhất vào ngày 18 của tháng đầu quý tiếp theo), cơ sở in, đúc tiền phải báo cáo bằng văn bản giấy, gửi trực tiếp hoặc qua dịch vụ bưu chính đến Ngân hàng Nhà nước (Cục Phát hành và Kho quỹ) về tình hình nhập khẩu và sử dụng hàng hóa đã nhập khẩu theo Mẫu số 01 ban hành kèm theo Thông tư này. Thời gian chốt số liệu báo cáo được tính từ ngày 15 của tháng trước kỳ báo cáo đến ngày 14 tháng cuối quý thuộc kỳ báo cáo.</w:t>
      </w:r>
    </w:p>
    <w:p w:rsidR="00DF6100" w:rsidRPr="00E770C3" w:rsidRDefault="002A72B1" w:rsidP="00A143D3">
      <w:pPr>
        <w:tabs>
          <w:tab w:val="left" w:pos="720"/>
        </w:tabs>
        <w:spacing w:before="120" w:after="120" w:line="360" w:lineRule="exact"/>
        <w:jc w:val="both"/>
        <w:rPr>
          <w:b/>
          <w:sz w:val="28"/>
          <w:szCs w:val="28"/>
          <w:lang w:val="it-IT"/>
        </w:rPr>
      </w:pPr>
      <w:r>
        <w:rPr>
          <w:sz w:val="28"/>
          <w:szCs w:val="28"/>
          <w:lang w:val="it-IT"/>
        </w:rPr>
        <w:tab/>
      </w:r>
      <w:r w:rsidR="00DF6100" w:rsidRPr="00E770C3">
        <w:rPr>
          <w:b/>
          <w:sz w:val="28"/>
          <w:szCs w:val="28"/>
          <w:lang w:val="it-IT"/>
        </w:rPr>
        <w:t xml:space="preserve">Điều </w:t>
      </w:r>
      <w:r w:rsidR="006B493C" w:rsidRPr="00E770C3">
        <w:rPr>
          <w:b/>
          <w:sz w:val="28"/>
          <w:szCs w:val="28"/>
          <w:lang w:val="it-IT"/>
        </w:rPr>
        <w:t>7</w:t>
      </w:r>
      <w:r w:rsidR="00DF6100" w:rsidRPr="00E770C3">
        <w:rPr>
          <w:b/>
          <w:sz w:val="28"/>
          <w:szCs w:val="28"/>
          <w:lang w:val="it-IT"/>
        </w:rPr>
        <w:t xml:space="preserve">. </w:t>
      </w:r>
      <w:r w:rsidR="00814DD8" w:rsidRPr="00E770C3">
        <w:rPr>
          <w:b/>
          <w:sz w:val="28"/>
          <w:szCs w:val="28"/>
          <w:lang w:val="it-IT"/>
        </w:rPr>
        <w:t>Quy định</w:t>
      </w:r>
      <w:r w:rsidR="00DF6100" w:rsidRPr="00E770C3">
        <w:rPr>
          <w:b/>
          <w:sz w:val="28"/>
          <w:szCs w:val="28"/>
          <w:lang w:val="it-IT"/>
        </w:rPr>
        <w:t xml:space="preserve"> chuyển tiếp</w:t>
      </w:r>
    </w:p>
    <w:p w:rsidR="00DF6100" w:rsidRPr="00E770C3" w:rsidRDefault="00DF6100" w:rsidP="00A143D3">
      <w:pPr>
        <w:pStyle w:val="NormalWeb"/>
        <w:shd w:val="clear" w:color="auto" w:fill="FFFFFF"/>
        <w:spacing w:before="120" w:after="120" w:line="360" w:lineRule="exact"/>
        <w:ind w:firstLine="720"/>
        <w:jc w:val="both"/>
        <w:rPr>
          <w:sz w:val="28"/>
          <w:szCs w:val="28"/>
          <w:lang w:val="it-IT"/>
        </w:rPr>
      </w:pPr>
      <w:r w:rsidRPr="00E770C3">
        <w:rPr>
          <w:sz w:val="28"/>
          <w:szCs w:val="28"/>
          <w:lang w:val="it-IT"/>
        </w:rPr>
        <w:t xml:space="preserve">Văn bản xác nhận của Ngân hàng Nhà nước </w:t>
      </w:r>
      <w:r w:rsidR="001E4B58" w:rsidRPr="00E770C3">
        <w:rPr>
          <w:sz w:val="28"/>
          <w:szCs w:val="28"/>
          <w:lang w:val="it-IT"/>
        </w:rPr>
        <w:t>về</w:t>
      </w:r>
      <w:r w:rsidR="008E1E0E" w:rsidRPr="00E770C3">
        <w:rPr>
          <w:sz w:val="28"/>
          <w:szCs w:val="28"/>
          <w:lang w:val="it-IT"/>
        </w:rPr>
        <w:t xml:space="preserve"> việc </w:t>
      </w:r>
      <w:r w:rsidRPr="00E770C3">
        <w:rPr>
          <w:sz w:val="28"/>
          <w:szCs w:val="28"/>
          <w:lang w:val="it-IT"/>
        </w:rPr>
        <w:t xml:space="preserve">cơ sở in, đúc tiền nhập khẩu hàng hóa phục vụ hoạt động in, đúc tiền theo quy định tại </w:t>
      </w:r>
      <w:r w:rsidRPr="002021E1">
        <w:rPr>
          <w:sz w:val="28"/>
          <w:szCs w:val="28"/>
        </w:rPr>
        <w:t xml:space="preserve">Thông tư số 15/2017/TT-NHNN ngày 05/10/2017 </w:t>
      </w:r>
      <w:r w:rsidRPr="00E770C3">
        <w:rPr>
          <w:sz w:val="28"/>
          <w:szCs w:val="28"/>
          <w:lang w:val="it-IT"/>
        </w:rPr>
        <w:t xml:space="preserve">của Ngân hàng Nhà nước </w:t>
      </w:r>
      <w:r w:rsidR="00072943">
        <w:rPr>
          <w:sz w:val="28"/>
          <w:szCs w:val="28"/>
        </w:rPr>
        <w:t>s</w:t>
      </w:r>
      <w:r w:rsidRPr="002021E1">
        <w:rPr>
          <w:sz w:val="28"/>
          <w:szCs w:val="28"/>
        </w:rPr>
        <w:t>ửa đổi, bổ sung một số điều của Thông tư số 18/2014/</w:t>
      </w:r>
      <w:r w:rsidR="008E1E0E">
        <w:rPr>
          <w:sz w:val="28"/>
          <w:szCs w:val="28"/>
        </w:rPr>
        <w:t>TT-NHNN</w:t>
      </w:r>
      <w:r w:rsidR="008E1E0E" w:rsidRPr="00E770C3">
        <w:rPr>
          <w:sz w:val="28"/>
          <w:szCs w:val="28"/>
          <w:lang w:val="it-IT"/>
        </w:rPr>
        <w:t xml:space="preserve"> ngày </w:t>
      </w:r>
      <w:r w:rsidRPr="002021E1">
        <w:rPr>
          <w:sz w:val="28"/>
          <w:szCs w:val="28"/>
        </w:rPr>
        <w:t>01/8/2014</w:t>
      </w:r>
      <w:r w:rsidRPr="002021E1">
        <w:rPr>
          <w:b/>
          <w:sz w:val="28"/>
          <w:szCs w:val="28"/>
        </w:rPr>
        <w:t xml:space="preserve"> </w:t>
      </w:r>
      <w:r w:rsidRPr="00E770C3">
        <w:rPr>
          <w:sz w:val="28"/>
          <w:szCs w:val="28"/>
          <w:lang w:val="it-IT"/>
        </w:rPr>
        <w:t>của Ngân hàng Nhà nước</w:t>
      </w:r>
      <w:r w:rsidRPr="00E770C3">
        <w:rPr>
          <w:b/>
          <w:sz w:val="28"/>
          <w:szCs w:val="28"/>
          <w:lang w:val="it-IT"/>
        </w:rPr>
        <w:t xml:space="preserve"> </w:t>
      </w:r>
      <w:r w:rsidRPr="002021E1">
        <w:rPr>
          <w:sz w:val="28"/>
          <w:szCs w:val="28"/>
        </w:rPr>
        <w:t>hướng dẫn hoạt động nhập khẩu hàng hóa thuộc diện quản lý chuyên ngành của Ngân hàng Nhà nước Việt Nam</w:t>
      </w:r>
      <w:r w:rsidR="001E4B58" w:rsidRPr="00E770C3">
        <w:rPr>
          <w:sz w:val="28"/>
          <w:szCs w:val="28"/>
          <w:lang w:val="it-IT"/>
        </w:rPr>
        <w:t xml:space="preserve"> </w:t>
      </w:r>
      <w:r w:rsidRPr="00E770C3">
        <w:rPr>
          <w:sz w:val="28"/>
          <w:szCs w:val="28"/>
          <w:lang w:val="it-IT"/>
        </w:rPr>
        <w:t>được tiếp tục thực hiện theo c</w:t>
      </w:r>
      <w:r w:rsidR="004E6627" w:rsidRPr="00E770C3">
        <w:rPr>
          <w:sz w:val="28"/>
          <w:szCs w:val="28"/>
          <w:lang w:val="it-IT"/>
        </w:rPr>
        <w:t xml:space="preserve">ác nội dung tại </w:t>
      </w:r>
      <w:r w:rsidRPr="00E770C3">
        <w:rPr>
          <w:sz w:val="28"/>
          <w:szCs w:val="28"/>
          <w:lang w:val="it-IT"/>
        </w:rPr>
        <w:t>văn bản xác nhận.</w:t>
      </w:r>
    </w:p>
    <w:p w:rsidR="003C03F8" w:rsidRPr="00E770C3" w:rsidRDefault="00B71E8D" w:rsidP="00A143D3">
      <w:pPr>
        <w:tabs>
          <w:tab w:val="left" w:pos="720"/>
        </w:tabs>
        <w:spacing w:before="120" w:after="120" w:line="360" w:lineRule="exact"/>
        <w:jc w:val="both"/>
        <w:rPr>
          <w:b/>
          <w:sz w:val="28"/>
          <w:szCs w:val="28"/>
          <w:lang w:val="it-IT"/>
        </w:rPr>
      </w:pPr>
      <w:r w:rsidRPr="00E770C3">
        <w:rPr>
          <w:b/>
          <w:sz w:val="28"/>
          <w:szCs w:val="28"/>
          <w:lang w:val="it-IT"/>
        </w:rPr>
        <w:tab/>
      </w:r>
      <w:r w:rsidR="003C03F8" w:rsidRPr="00E770C3">
        <w:rPr>
          <w:b/>
          <w:sz w:val="28"/>
          <w:szCs w:val="28"/>
          <w:lang w:val="it-IT"/>
        </w:rPr>
        <w:t>Điều 8. Trách nhiệm tổ chức th</w:t>
      </w:r>
      <w:r w:rsidR="002B6CFC" w:rsidRPr="00E770C3">
        <w:rPr>
          <w:b/>
          <w:sz w:val="28"/>
          <w:szCs w:val="28"/>
          <w:lang w:val="it-IT"/>
        </w:rPr>
        <w:t>ực hiện</w:t>
      </w:r>
    </w:p>
    <w:p w:rsidR="003C03F8" w:rsidRPr="00E770C3" w:rsidRDefault="003C03F8" w:rsidP="00A143D3">
      <w:pPr>
        <w:tabs>
          <w:tab w:val="left" w:pos="720"/>
        </w:tabs>
        <w:spacing w:before="120" w:after="120" w:line="360" w:lineRule="exact"/>
        <w:jc w:val="both"/>
        <w:rPr>
          <w:b/>
          <w:sz w:val="28"/>
          <w:szCs w:val="28"/>
          <w:lang w:val="it-IT"/>
        </w:rPr>
      </w:pPr>
      <w:r w:rsidRPr="00E770C3">
        <w:rPr>
          <w:b/>
          <w:sz w:val="28"/>
          <w:szCs w:val="28"/>
          <w:lang w:val="it-IT"/>
        </w:rPr>
        <w:tab/>
      </w:r>
      <w:r w:rsidRPr="00E770C3">
        <w:rPr>
          <w:sz w:val="28"/>
          <w:szCs w:val="28"/>
          <w:lang w:val="it-IT"/>
        </w:rPr>
        <w:t xml:space="preserve">Chánh Văn phòng, Cục trưởng Cục Phát hành và Kho quỹ, Thủ trưởng các đơn vị thuộc Ngân hàng Nhà nước, Chủ tịch Hội đồng quản trị, Hội đồng thành viên, Tổng Giám đốc (Giám đốc) cơ sở in, đúc tiền </w:t>
      </w:r>
      <w:r w:rsidRPr="00E770C3">
        <w:rPr>
          <w:spacing w:val="-4"/>
          <w:sz w:val="28"/>
          <w:szCs w:val="28"/>
          <w:lang w:val="it-IT"/>
        </w:rPr>
        <w:t>chịu trách nhiệm tổ chức thực hiện Thông tư này.</w:t>
      </w:r>
    </w:p>
    <w:p w:rsidR="003C03F8" w:rsidRPr="002C78AF" w:rsidRDefault="003C03F8" w:rsidP="00A143D3">
      <w:pPr>
        <w:tabs>
          <w:tab w:val="left" w:pos="720"/>
        </w:tabs>
        <w:spacing w:before="120" w:after="120" w:line="360" w:lineRule="exact"/>
        <w:jc w:val="both"/>
        <w:rPr>
          <w:b/>
          <w:sz w:val="28"/>
          <w:szCs w:val="28"/>
          <w:vertAlign w:val="superscript"/>
          <w:lang w:val="it-IT"/>
        </w:rPr>
      </w:pPr>
      <w:r w:rsidRPr="00E770C3">
        <w:rPr>
          <w:b/>
          <w:sz w:val="28"/>
          <w:szCs w:val="28"/>
          <w:lang w:val="it-IT"/>
        </w:rPr>
        <w:lastRenderedPageBreak/>
        <w:tab/>
      </w:r>
      <w:r w:rsidR="00B71E8D" w:rsidRPr="00E770C3">
        <w:rPr>
          <w:b/>
          <w:sz w:val="28"/>
          <w:szCs w:val="28"/>
          <w:lang w:val="it-IT"/>
        </w:rPr>
        <w:t xml:space="preserve">Điều </w:t>
      </w:r>
      <w:r w:rsidRPr="00E770C3">
        <w:rPr>
          <w:b/>
          <w:sz w:val="28"/>
          <w:szCs w:val="28"/>
          <w:lang w:val="it-IT"/>
        </w:rPr>
        <w:t>9</w:t>
      </w:r>
      <w:r w:rsidR="00215C0F" w:rsidRPr="00E770C3">
        <w:rPr>
          <w:b/>
          <w:sz w:val="28"/>
          <w:szCs w:val="28"/>
          <w:lang w:val="it-IT"/>
        </w:rPr>
        <w:t>. Hiệu lực thi hành</w:t>
      </w:r>
      <w:r w:rsidR="00376ED7">
        <w:rPr>
          <w:rStyle w:val="FootnoteReference"/>
          <w:b/>
          <w:sz w:val="28"/>
          <w:szCs w:val="28"/>
        </w:rPr>
        <w:footnoteReference w:id="5"/>
      </w:r>
      <w:r w:rsidR="002C78AF">
        <w:rPr>
          <w:b/>
          <w:sz w:val="28"/>
          <w:szCs w:val="28"/>
          <w:vertAlign w:val="superscript"/>
          <w:lang w:val="it-IT"/>
        </w:rPr>
        <w:t>,</w:t>
      </w:r>
      <w:r w:rsidR="002C78AF">
        <w:rPr>
          <w:rStyle w:val="FootnoteReference"/>
          <w:b/>
          <w:sz w:val="28"/>
          <w:szCs w:val="28"/>
          <w:lang w:val="it-IT"/>
        </w:rPr>
        <w:footnoteReference w:id="6"/>
      </w:r>
    </w:p>
    <w:p w:rsidR="005C3279" w:rsidRPr="00E770C3" w:rsidRDefault="00215C0F" w:rsidP="00A143D3">
      <w:pPr>
        <w:tabs>
          <w:tab w:val="left" w:pos="720"/>
        </w:tabs>
        <w:spacing w:before="120" w:after="120" w:line="360" w:lineRule="exact"/>
        <w:jc w:val="both"/>
        <w:rPr>
          <w:b/>
          <w:sz w:val="28"/>
          <w:szCs w:val="28"/>
          <w:lang w:val="it-IT"/>
        </w:rPr>
      </w:pPr>
      <w:r w:rsidRPr="00E770C3">
        <w:rPr>
          <w:b/>
          <w:sz w:val="28"/>
          <w:szCs w:val="28"/>
          <w:lang w:val="it-IT"/>
        </w:rPr>
        <w:tab/>
      </w:r>
      <w:r w:rsidRPr="00E770C3">
        <w:rPr>
          <w:sz w:val="28"/>
          <w:szCs w:val="28"/>
          <w:lang w:val="it-IT"/>
        </w:rPr>
        <w:t>1.</w:t>
      </w:r>
      <w:r w:rsidRPr="00E770C3">
        <w:rPr>
          <w:b/>
          <w:sz w:val="28"/>
          <w:szCs w:val="28"/>
          <w:lang w:val="it-IT"/>
        </w:rPr>
        <w:t xml:space="preserve"> </w:t>
      </w:r>
      <w:r w:rsidR="005C3279" w:rsidRPr="00E770C3">
        <w:rPr>
          <w:sz w:val="28"/>
          <w:szCs w:val="28"/>
          <w:lang w:val="it-IT"/>
        </w:rPr>
        <w:t xml:space="preserve">Thông tư này có hiệu lực thi hành </w:t>
      </w:r>
      <w:r w:rsidR="00D52ABD" w:rsidRPr="00E770C3">
        <w:rPr>
          <w:sz w:val="28"/>
          <w:szCs w:val="28"/>
          <w:lang w:val="it-IT"/>
        </w:rPr>
        <w:t>kể từ ngày</w:t>
      </w:r>
      <w:r w:rsidR="00B71E8D" w:rsidRPr="00E770C3">
        <w:rPr>
          <w:sz w:val="28"/>
          <w:szCs w:val="28"/>
          <w:lang w:val="it-IT"/>
        </w:rPr>
        <w:t xml:space="preserve"> </w:t>
      </w:r>
      <w:r w:rsidR="00C27AF1" w:rsidRPr="00E770C3">
        <w:rPr>
          <w:sz w:val="28"/>
          <w:szCs w:val="28"/>
          <w:lang w:val="it-IT"/>
        </w:rPr>
        <w:t xml:space="preserve">08 tháng 02 </w:t>
      </w:r>
      <w:r w:rsidR="00A57689" w:rsidRPr="00E770C3">
        <w:rPr>
          <w:sz w:val="28"/>
          <w:szCs w:val="28"/>
          <w:lang w:val="it-IT"/>
        </w:rPr>
        <w:t>năm</w:t>
      </w:r>
      <w:r w:rsidR="00B32E75" w:rsidRPr="00E770C3">
        <w:rPr>
          <w:sz w:val="28"/>
          <w:szCs w:val="28"/>
          <w:lang w:val="it-IT"/>
        </w:rPr>
        <w:t xml:space="preserve"> </w:t>
      </w:r>
      <w:r w:rsidR="00C27AF1" w:rsidRPr="00E770C3">
        <w:rPr>
          <w:sz w:val="28"/>
          <w:szCs w:val="28"/>
          <w:lang w:val="it-IT"/>
        </w:rPr>
        <w:t>2019.</w:t>
      </w:r>
    </w:p>
    <w:p w:rsidR="00323ADE" w:rsidRPr="00E770C3" w:rsidRDefault="005C3279" w:rsidP="00A143D3">
      <w:pPr>
        <w:spacing w:before="120" w:after="120" w:line="360" w:lineRule="exact"/>
        <w:jc w:val="both"/>
        <w:rPr>
          <w:sz w:val="28"/>
          <w:szCs w:val="28"/>
          <w:lang w:val="it-IT"/>
        </w:rPr>
      </w:pPr>
      <w:r w:rsidRPr="00E770C3">
        <w:rPr>
          <w:sz w:val="28"/>
          <w:szCs w:val="28"/>
          <w:lang w:val="it-IT"/>
        </w:rPr>
        <w:tab/>
      </w:r>
      <w:r w:rsidR="00215C0F" w:rsidRPr="00E770C3">
        <w:rPr>
          <w:sz w:val="28"/>
          <w:szCs w:val="28"/>
          <w:lang w:val="it-IT"/>
        </w:rPr>
        <w:t xml:space="preserve">2. Thông tư này thay thế Thông tư số </w:t>
      </w:r>
      <w:r w:rsidR="00B71E8D" w:rsidRPr="00E770C3">
        <w:rPr>
          <w:sz w:val="28"/>
          <w:szCs w:val="28"/>
          <w:lang w:val="it-IT"/>
        </w:rPr>
        <w:t>18/2014</w:t>
      </w:r>
      <w:r w:rsidRPr="00E770C3">
        <w:rPr>
          <w:sz w:val="28"/>
          <w:szCs w:val="28"/>
          <w:lang w:val="it-IT"/>
        </w:rPr>
        <w:t>/TT-</w:t>
      </w:r>
      <w:r w:rsidR="00B71E8D" w:rsidRPr="00E770C3">
        <w:rPr>
          <w:sz w:val="28"/>
          <w:szCs w:val="28"/>
          <w:lang w:val="it-IT"/>
        </w:rPr>
        <w:t>NHNN ngày 01/8</w:t>
      </w:r>
      <w:r w:rsidR="00215C0F" w:rsidRPr="00E770C3">
        <w:rPr>
          <w:sz w:val="28"/>
          <w:szCs w:val="28"/>
          <w:lang w:val="it-IT"/>
        </w:rPr>
        <w:t>/20</w:t>
      </w:r>
      <w:r w:rsidR="00B71E8D" w:rsidRPr="00E770C3">
        <w:rPr>
          <w:sz w:val="28"/>
          <w:szCs w:val="28"/>
          <w:lang w:val="it-IT"/>
        </w:rPr>
        <w:t>14</w:t>
      </w:r>
      <w:r w:rsidR="00215C0F" w:rsidRPr="00E770C3">
        <w:rPr>
          <w:b/>
          <w:sz w:val="28"/>
          <w:szCs w:val="28"/>
          <w:lang w:val="it-IT"/>
        </w:rPr>
        <w:t xml:space="preserve"> </w:t>
      </w:r>
      <w:r w:rsidR="00D33081" w:rsidRPr="00E770C3">
        <w:rPr>
          <w:sz w:val="28"/>
          <w:szCs w:val="28"/>
          <w:lang w:val="it-IT"/>
        </w:rPr>
        <w:t>của Ngân hàng Nhà nước h</w:t>
      </w:r>
      <w:r w:rsidR="00215C0F" w:rsidRPr="00E770C3">
        <w:rPr>
          <w:sz w:val="28"/>
          <w:szCs w:val="28"/>
          <w:lang w:val="it-IT"/>
        </w:rPr>
        <w:t xml:space="preserve">ướng dẫn </w:t>
      </w:r>
      <w:r w:rsidR="00B71E8D" w:rsidRPr="00E770C3">
        <w:rPr>
          <w:sz w:val="28"/>
          <w:szCs w:val="28"/>
          <w:lang w:val="it-IT"/>
        </w:rPr>
        <w:t>hoạt động nhập khẩu hàng hóa thuộc diện quản lý chuyên ngành của Ngân hàng Nhà nước Việt Nam và Thông tư số 1</w:t>
      </w:r>
      <w:r w:rsidR="00274DE5" w:rsidRPr="00E770C3">
        <w:rPr>
          <w:sz w:val="28"/>
          <w:szCs w:val="28"/>
          <w:lang w:val="it-IT"/>
        </w:rPr>
        <w:t xml:space="preserve">5/2017/TT-NHNN ngày 05/10/2017 </w:t>
      </w:r>
      <w:r w:rsidR="00D33081" w:rsidRPr="00E770C3">
        <w:rPr>
          <w:sz w:val="28"/>
          <w:szCs w:val="28"/>
          <w:lang w:val="it-IT"/>
        </w:rPr>
        <w:t xml:space="preserve">của Ngân hàng Nhà nước </w:t>
      </w:r>
      <w:r w:rsidR="006D7573" w:rsidRPr="00E770C3">
        <w:rPr>
          <w:sz w:val="28"/>
          <w:szCs w:val="28"/>
          <w:lang w:val="it-IT"/>
        </w:rPr>
        <w:t>s</w:t>
      </w:r>
      <w:r w:rsidR="00B71E8D" w:rsidRPr="00E770C3">
        <w:rPr>
          <w:sz w:val="28"/>
          <w:szCs w:val="28"/>
          <w:lang w:val="it-IT"/>
        </w:rPr>
        <w:t xml:space="preserve">ửa đổi, bổ sung một số điều của Thông tư số 18/2014/TT-NHNN </w:t>
      </w:r>
      <w:r w:rsidR="008E1E0E" w:rsidRPr="00E770C3">
        <w:rPr>
          <w:sz w:val="28"/>
          <w:szCs w:val="28"/>
          <w:lang w:val="it-IT"/>
        </w:rPr>
        <w:t xml:space="preserve">ngày </w:t>
      </w:r>
      <w:r w:rsidR="00B71E8D" w:rsidRPr="00E770C3">
        <w:rPr>
          <w:sz w:val="28"/>
          <w:szCs w:val="28"/>
          <w:lang w:val="it-IT"/>
        </w:rPr>
        <w:t>01/8/2014</w:t>
      </w:r>
      <w:r w:rsidR="00B71E8D" w:rsidRPr="00E770C3">
        <w:rPr>
          <w:b/>
          <w:sz w:val="28"/>
          <w:szCs w:val="28"/>
          <w:lang w:val="it-IT"/>
        </w:rPr>
        <w:t xml:space="preserve"> </w:t>
      </w:r>
      <w:r w:rsidR="00B71E8D" w:rsidRPr="00E770C3">
        <w:rPr>
          <w:sz w:val="28"/>
          <w:szCs w:val="28"/>
          <w:lang w:val="it-IT"/>
        </w:rPr>
        <w:t xml:space="preserve">hướng dẫn hoạt </w:t>
      </w:r>
      <w:r w:rsidR="00B71E8D" w:rsidRPr="00E770C3">
        <w:rPr>
          <w:sz w:val="28"/>
          <w:szCs w:val="28"/>
          <w:lang w:val="it-IT"/>
        </w:rPr>
        <w:lastRenderedPageBreak/>
        <w:t>động nhập khẩu hàng hóa thuộc diện quản lý chuyên ngành của Ngân hàng Nhà nước Việt Nam.</w:t>
      </w:r>
      <w:r w:rsidR="003C03F8" w:rsidRPr="00E770C3">
        <w:rPr>
          <w:sz w:val="28"/>
          <w:szCs w:val="28"/>
          <w:lang w:val="it-IT"/>
        </w:rPr>
        <w:t>/.</w:t>
      </w:r>
      <w:r w:rsidRPr="00E770C3">
        <w:rPr>
          <w:b/>
          <w:sz w:val="28"/>
          <w:szCs w:val="28"/>
          <w:lang w:val="it-IT"/>
        </w:rPr>
        <w:tab/>
      </w:r>
    </w:p>
    <w:p w:rsidR="00B9323C" w:rsidRPr="00E770C3" w:rsidRDefault="00B9323C" w:rsidP="00A143D3">
      <w:pPr>
        <w:tabs>
          <w:tab w:val="left" w:pos="720"/>
        </w:tabs>
        <w:spacing w:before="120" w:after="120" w:line="360" w:lineRule="exact"/>
        <w:jc w:val="center"/>
        <w:rPr>
          <w:b/>
          <w:bCs/>
          <w:color w:val="000000"/>
          <w:sz w:val="26"/>
          <w:szCs w:val="26"/>
          <w:lang w:val="it-IT" w:eastAsia="vi-VN"/>
        </w:rPr>
      </w:pPr>
    </w:p>
    <w:p w:rsidR="00DA0393" w:rsidRPr="00E770C3" w:rsidRDefault="00DA0393" w:rsidP="00A143D3">
      <w:pPr>
        <w:tabs>
          <w:tab w:val="left" w:pos="720"/>
        </w:tabs>
        <w:spacing w:before="120" w:after="120" w:line="360" w:lineRule="exact"/>
        <w:jc w:val="center"/>
        <w:rPr>
          <w:b/>
          <w:bCs/>
          <w:color w:val="000000"/>
          <w:sz w:val="26"/>
          <w:szCs w:val="26"/>
          <w:lang w:val="it-IT" w:eastAsia="vi-VN"/>
        </w:rPr>
      </w:pPr>
    </w:p>
    <w:p w:rsidR="00DA0393" w:rsidRDefault="00DA0393"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Default="00C64670" w:rsidP="00A143D3">
      <w:pPr>
        <w:tabs>
          <w:tab w:val="left" w:pos="720"/>
        </w:tabs>
        <w:spacing w:before="120" w:after="120" w:line="360" w:lineRule="exact"/>
        <w:jc w:val="center"/>
        <w:rPr>
          <w:b/>
          <w:bCs/>
          <w:color w:val="000000"/>
          <w:sz w:val="26"/>
          <w:szCs w:val="26"/>
          <w:lang w:val="it-IT" w:eastAsia="vi-VN"/>
        </w:rPr>
      </w:pPr>
    </w:p>
    <w:p w:rsidR="00C64670" w:rsidRPr="00E770C3" w:rsidRDefault="00C64670" w:rsidP="00A143D3">
      <w:pPr>
        <w:tabs>
          <w:tab w:val="left" w:pos="720"/>
        </w:tabs>
        <w:spacing w:before="120" w:after="120" w:line="360" w:lineRule="exact"/>
        <w:jc w:val="center"/>
        <w:rPr>
          <w:b/>
          <w:bCs/>
          <w:color w:val="000000"/>
          <w:sz w:val="26"/>
          <w:szCs w:val="26"/>
          <w:lang w:val="it-IT" w:eastAsia="vi-VN"/>
        </w:rPr>
      </w:pPr>
    </w:p>
    <w:p w:rsidR="008B155B" w:rsidRPr="00A00C37" w:rsidRDefault="008B155B" w:rsidP="008B155B">
      <w:pPr>
        <w:tabs>
          <w:tab w:val="left" w:pos="720"/>
        </w:tabs>
        <w:jc w:val="center"/>
        <w:rPr>
          <w:b/>
          <w:sz w:val="28"/>
          <w:szCs w:val="26"/>
        </w:rPr>
      </w:pPr>
      <w:r w:rsidRPr="00A00C37">
        <w:rPr>
          <w:b/>
          <w:sz w:val="28"/>
          <w:szCs w:val="26"/>
        </w:rPr>
        <w:lastRenderedPageBreak/>
        <w:t>PHỤ LỤC</w:t>
      </w:r>
      <w:r w:rsidR="002C78AF">
        <w:rPr>
          <w:rStyle w:val="FootnoteReference"/>
          <w:b/>
          <w:sz w:val="28"/>
          <w:szCs w:val="26"/>
        </w:rPr>
        <w:footnoteReference w:id="7"/>
      </w:r>
    </w:p>
    <w:p w:rsidR="008B155B" w:rsidRPr="00A00C37" w:rsidRDefault="008B155B" w:rsidP="00385EDB">
      <w:pPr>
        <w:tabs>
          <w:tab w:val="left" w:pos="720"/>
        </w:tabs>
        <w:spacing w:before="120"/>
        <w:jc w:val="center"/>
        <w:rPr>
          <w:b/>
          <w:sz w:val="28"/>
          <w:szCs w:val="26"/>
        </w:rPr>
      </w:pPr>
      <w:r w:rsidRPr="00A00C37">
        <w:rPr>
          <w:b/>
          <w:sz w:val="28"/>
          <w:szCs w:val="26"/>
        </w:rPr>
        <w:t xml:space="preserve">Danh mục hàng hóa chỉ định cơ sở in, đúc tiền nhập khẩu </w:t>
      </w:r>
    </w:p>
    <w:p w:rsidR="008B155B" w:rsidRPr="00A00C37" w:rsidRDefault="008B155B" w:rsidP="00385EDB">
      <w:pPr>
        <w:tabs>
          <w:tab w:val="left" w:pos="720"/>
        </w:tabs>
        <w:spacing w:before="120"/>
        <w:jc w:val="center"/>
        <w:rPr>
          <w:b/>
          <w:sz w:val="28"/>
          <w:szCs w:val="26"/>
        </w:rPr>
      </w:pPr>
      <w:r w:rsidRPr="00A00C37">
        <w:rPr>
          <w:b/>
          <w:sz w:val="28"/>
          <w:szCs w:val="26"/>
        </w:rPr>
        <w:t xml:space="preserve">phục vụ hoạt động in, đúc tiền của Ngân hàng Nhà nước Việt Nam </w:t>
      </w:r>
    </w:p>
    <w:p w:rsidR="008B155B" w:rsidRDefault="008B155B" w:rsidP="00385EDB">
      <w:pPr>
        <w:tabs>
          <w:tab w:val="left" w:pos="720"/>
        </w:tabs>
        <w:spacing w:before="120"/>
        <w:jc w:val="center"/>
        <w:rPr>
          <w:i/>
          <w:iCs/>
          <w:color w:val="000000"/>
          <w:sz w:val="26"/>
          <w:szCs w:val="26"/>
          <w:lang w:val="vi-VN" w:eastAsia="vi-VN"/>
        </w:rPr>
      </w:pPr>
      <w:r w:rsidRPr="00A00C37">
        <w:rPr>
          <w:i/>
          <w:iCs/>
          <w:color w:val="000000"/>
          <w:sz w:val="26"/>
          <w:szCs w:val="26"/>
          <w:lang w:val="vi-VN" w:eastAsia="vi-VN"/>
        </w:rPr>
        <w:t xml:space="preserve"> (</w:t>
      </w:r>
      <w:r w:rsidRPr="00A00C37">
        <w:rPr>
          <w:i/>
          <w:iCs/>
          <w:color w:val="000000"/>
          <w:spacing w:val="-4"/>
          <w:sz w:val="26"/>
          <w:szCs w:val="26"/>
          <w:lang w:val="vi-VN" w:eastAsia="vi-VN"/>
        </w:rPr>
        <w:t>Ban hành kèm theo Thông tư s</w:t>
      </w:r>
      <w:r w:rsidRPr="004542CE">
        <w:rPr>
          <w:i/>
          <w:iCs/>
          <w:color w:val="000000"/>
          <w:spacing w:val="-4"/>
          <w:sz w:val="26"/>
          <w:szCs w:val="26"/>
          <w:lang w:val="vi-VN" w:eastAsia="vi-VN"/>
        </w:rPr>
        <w:t>ố 07</w:t>
      </w:r>
      <w:r w:rsidRPr="00A00C37">
        <w:rPr>
          <w:i/>
          <w:iCs/>
          <w:color w:val="000000"/>
          <w:spacing w:val="-4"/>
          <w:sz w:val="26"/>
          <w:szCs w:val="26"/>
          <w:lang w:val="vi-VN" w:eastAsia="vi-VN"/>
        </w:rPr>
        <w:t xml:space="preserve"> /2023/TT-NHNN ngày</w:t>
      </w:r>
      <w:r w:rsidRPr="004542CE">
        <w:rPr>
          <w:i/>
          <w:iCs/>
          <w:color w:val="000000"/>
          <w:spacing w:val="-4"/>
          <w:sz w:val="26"/>
          <w:szCs w:val="26"/>
          <w:lang w:val="vi-VN" w:eastAsia="vi-VN"/>
        </w:rPr>
        <w:t xml:space="preserve"> 30</w:t>
      </w:r>
      <w:r w:rsidRPr="00A00C37">
        <w:rPr>
          <w:i/>
          <w:iCs/>
          <w:color w:val="000000"/>
          <w:spacing w:val="-4"/>
          <w:sz w:val="26"/>
          <w:szCs w:val="26"/>
          <w:lang w:val="vi-VN" w:eastAsia="vi-VN"/>
        </w:rPr>
        <w:t xml:space="preserve"> tháng</w:t>
      </w:r>
      <w:r w:rsidRPr="004542CE">
        <w:rPr>
          <w:i/>
          <w:iCs/>
          <w:color w:val="000000"/>
          <w:spacing w:val="-4"/>
          <w:sz w:val="26"/>
          <w:szCs w:val="26"/>
          <w:lang w:val="vi-VN" w:eastAsia="vi-VN"/>
        </w:rPr>
        <w:t xml:space="preserve"> 6 </w:t>
      </w:r>
      <w:r w:rsidRPr="00A00C37">
        <w:rPr>
          <w:i/>
          <w:iCs/>
          <w:color w:val="000000"/>
          <w:spacing w:val="-4"/>
          <w:sz w:val="26"/>
          <w:szCs w:val="26"/>
          <w:lang w:val="vi-VN" w:eastAsia="vi-VN"/>
        </w:rPr>
        <w:t xml:space="preserve">năm 2023   </w:t>
      </w:r>
      <w:r w:rsidRPr="00A00C37">
        <w:rPr>
          <w:i/>
          <w:iCs/>
          <w:color w:val="000000"/>
          <w:spacing w:val="-4"/>
          <w:sz w:val="26"/>
          <w:szCs w:val="26"/>
          <w:lang w:val="vi-VN" w:eastAsia="vi-VN"/>
        </w:rPr>
        <w:br/>
      </w:r>
      <w:r w:rsidRPr="00A00C37">
        <w:rPr>
          <w:i/>
          <w:iCs/>
          <w:color w:val="000000"/>
          <w:sz w:val="26"/>
          <w:szCs w:val="26"/>
          <w:lang w:val="vi-VN" w:eastAsia="vi-VN"/>
        </w:rPr>
        <w:t>của Ngân hàng Nhà nước Việt Nam )</w:t>
      </w:r>
    </w:p>
    <w:p w:rsidR="002C78AF" w:rsidRDefault="002C78AF" w:rsidP="002C78AF">
      <w:pPr>
        <w:tabs>
          <w:tab w:val="left" w:pos="720"/>
        </w:tabs>
        <w:spacing w:after="120"/>
        <w:jc w:val="center"/>
        <w:rPr>
          <w:i/>
          <w:iCs/>
          <w:color w:val="000000"/>
          <w:sz w:val="26"/>
          <w:szCs w:val="26"/>
          <w:lang w:val="vi-VN" w:eastAsia="vi-VN"/>
        </w:rPr>
      </w:pPr>
    </w:p>
    <w:p w:rsidR="002C78AF" w:rsidRPr="002C78AF" w:rsidRDefault="002C78AF" w:rsidP="002C78AF">
      <w:pPr>
        <w:tabs>
          <w:tab w:val="left" w:pos="720"/>
        </w:tabs>
        <w:spacing w:after="120"/>
        <w:jc w:val="center"/>
        <w:rPr>
          <w:sz w:val="26"/>
          <w:szCs w:val="26"/>
          <w:lang w:val="vi-V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245"/>
        <w:gridCol w:w="1054"/>
        <w:gridCol w:w="850"/>
        <w:gridCol w:w="709"/>
        <w:gridCol w:w="709"/>
      </w:tblGrid>
      <w:tr w:rsidR="008B155B" w:rsidRPr="00A00C37" w:rsidTr="00D7753C">
        <w:trPr>
          <w:trHeight w:val="375"/>
        </w:trPr>
        <w:tc>
          <w:tcPr>
            <w:tcW w:w="709" w:type="dxa"/>
            <w:vMerge w:val="restart"/>
            <w:shd w:val="clear" w:color="auto" w:fill="auto"/>
            <w:noWrap/>
            <w:vAlign w:val="center"/>
            <w:hideMark/>
          </w:tcPr>
          <w:p w:rsidR="008B155B" w:rsidRPr="00A00C37" w:rsidRDefault="008B155B" w:rsidP="00D7753C">
            <w:pPr>
              <w:jc w:val="center"/>
              <w:rPr>
                <w:b/>
                <w:bCs/>
                <w:color w:val="000000"/>
                <w:lang w:val="vi-VN" w:eastAsia="vi-VN"/>
              </w:rPr>
            </w:pPr>
            <w:r w:rsidRPr="00A00C37">
              <w:rPr>
                <w:b/>
                <w:bCs/>
                <w:color w:val="000000"/>
                <w:lang w:val="vi-VN" w:eastAsia="vi-VN"/>
              </w:rPr>
              <w:t>STT</w:t>
            </w:r>
          </w:p>
        </w:tc>
        <w:tc>
          <w:tcPr>
            <w:tcW w:w="5467" w:type="dxa"/>
            <w:vMerge w:val="restart"/>
            <w:vAlign w:val="center"/>
          </w:tcPr>
          <w:p w:rsidR="008B155B" w:rsidRPr="00A00C37" w:rsidRDefault="008B155B" w:rsidP="00D7753C">
            <w:pPr>
              <w:ind w:right="-108"/>
              <w:jc w:val="center"/>
              <w:rPr>
                <w:b/>
                <w:bCs/>
                <w:color w:val="000000"/>
                <w:lang w:eastAsia="vi-VN"/>
              </w:rPr>
            </w:pPr>
            <w:r w:rsidRPr="00A00C37">
              <w:rPr>
                <w:b/>
                <w:bCs/>
                <w:color w:val="000000"/>
                <w:lang w:eastAsia="vi-VN"/>
              </w:rPr>
              <w:t>TÊN HÀNG HÓA</w:t>
            </w:r>
          </w:p>
        </w:tc>
        <w:tc>
          <w:tcPr>
            <w:tcW w:w="3322" w:type="dxa"/>
            <w:gridSpan w:val="4"/>
            <w:shd w:val="clear" w:color="auto" w:fill="auto"/>
            <w:noWrap/>
            <w:vAlign w:val="center"/>
            <w:hideMark/>
          </w:tcPr>
          <w:p w:rsidR="008B155B" w:rsidRPr="00A00C37" w:rsidRDefault="008B155B" w:rsidP="00D7753C">
            <w:pPr>
              <w:jc w:val="center"/>
              <w:rPr>
                <w:b/>
                <w:bCs/>
                <w:color w:val="000000"/>
                <w:lang w:eastAsia="vi-VN"/>
              </w:rPr>
            </w:pPr>
            <w:r w:rsidRPr="00A00C37">
              <w:rPr>
                <w:b/>
                <w:bCs/>
                <w:color w:val="000000"/>
                <w:lang w:eastAsia="vi-VN"/>
              </w:rPr>
              <w:t>MÃ SỐ HS</w:t>
            </w:r>
          </w:p>
        </w:tc>
      </w:tr>
      <w:tr w:rsidR="008B155B" w:rsidRPr="00A00C37" w:rsidTr="00D7753C">
        <w:trPr>
          <w:trHeight w:val="495"/>
        </w:trPr>
        <w:tc>
          <w:tcPr>
            <w:tcW w:w="709" w:type="dxa"/>
            <w:vMerge/>
            <w:shd w:val="clear" w:color="auto" w:fill="auto"/>
            <w:noWrap/>
            <w:vAlign w:val="center"/>
            <w:hideMark/>
          </w:tcPr>
          <w:p w:rsidR="008B155B" w:rsidRPr="00A00C37" w:rsidRDefault="008B155B" w:rsidP="00D7753C">
            <w:pPr>
              <w:jc w:val="center"/>
              <w:rPr>
                <w:b/>
                <w:color w:val="000000"/>
                <w:lang w:eastAsia="vi-VN"/>
              </w:rPr>
            </w:pPr>
          </w:p>
        </w:tc>
        <w:tc>
          <w:tcPr>
            <w:tcW w:w="5467" w:type="dxa"/>
            <w:vMerge/>
            <w:vAlign w:val="center"/>
          </w:tcPr>
          <w:p w:rsidR="008B155B" w:rsidRPr="00A00C37" w:rsidRDefault="008B155B" w:rsidP="00D7753C">
            <w:pPr>
              <w:jc w:val="both"/>
              <w:rPr>
                <w:b/>
                <w:bCs/>
                <w:color w:val="000000"/>
                <w:lang w:val="vi-VN" w:eastAsia="vi-VN"/>
              </w:rPr>
            </w:pPr>
          </w:p>
        </w:tc>
        <w:tc>
          <w:tcPr>
            <w:tcW w:w="1054" w:type="dxa"/>
            <w:shd w:val="clear" w:color="auto" w:fill="auto"/>
            <w:noWrap/>
            <w:vAlign w:val="center"/>
            <w:hideMark/>
          </w:tcPr>
          <w:p w:rsidR="008B155B" w:rsidRPr="00A00C37" w:rsidRDefault="008B155B" w:rsidP="00D7753C">
            <w:pPr>
              <w:jc w:val="center"/>
              <w:rPr>
                <w:b/>
                <w:color w:val="000000"/>
                <w:lang w:eastAsia="vi-VN"/>
              </w:rPr>
            </w:pPr>
            <w:r w:rsidRPr="00A00C37">
              <w:rPr>
                <w:b/>
                <w:color w:val="000000"/>
                <w:lang w:eastAsia="vi-VN"/>
              </w:rPr>
              <w:t>Chương</w:t>
            </w:r>
          </w:p>
        </w:tc>
        <w:tc>
          <w:tcPr>
            <w:tcW w:w="850" w:type="dxa"/>
            <w:shd w:val="clear" w:color="auto" w:fill="auto"/>
            <w:noWrap/>
            <w:vAlign w:val="center"/>
            <w:hideMark/>
          </w:tcPr>
          <w:p w:rsidR="008B155B" w:rsidRPr="00A00C37" w:rsidRDefault="008B155B" w:rsidP="00D7753C">
            <w:pPr>
              <w:jc w:val="center"/>
              <w:rPr>
                <w:b/>
                <w:color w:val="000000"/>
                <w:lang w:eastAsia="vi-VN"/>
              </w:rPr>
            </w:pPr>
            <w:r w:rsidRPr="00A00C37">
              <w:rPr>
                <w:b/>
                <w:color w:val="000000"/>
                <w:lang w:eastAsia="vi-VN"/>
              </w:rPr>
              <w:t>Nhóm</w:t>
            </w:r>
          </w:p>
        </w:tc>
        <w:tc>
          <w:tcPr>
            <w:tcW w:w="1418" w:type="dxa"/>
            <w:gridSpan w:val="2"/>
            <w:shd w:val="clear" w:color="auto" w:fill="auto"/>
            <w:noWrap/>
            <w:vAlign w:val="center"/>
            <w:hideMark/>
          </w:tcPr>
          <w:p w:rsidR="008B155B" w:rsidRPr="00A00C37" w:rsidRDefault="008B155B" w:rsidP="00D7753C">
            <w:pPr>
              <w:jc w:val="center"/>
              <w:rPr>
                <w:b/>
                <w:color w:val="000000"/>
                <w:lang w:eastAsia="vi-VN"/>
              </w:rPr>
            </w:pPr>
            <w:r w:rsidRPr="00A00C37">
              <w:rPr>
                <w:b/>
                <w:color w:val="000000"/>
                <w:lang w:eastAsia="vi-VN"/>
              </w:rPr>
              <w:t>Phân nhóm</w:t>
            </w: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t>1</w:t>
            </w:r>
          </w:p>
        </w:tc>
        <w:tc>
          <w:tcPr>
            <w:tcW w:w="5467" w:type="dxa"/>
            <w:vAlign w:val="center"/>
          </w:tcPr>
          <w:p w:rsidR="008B155B" w:rsidRPr="00A00C37" w:rsidRDefault="008B155B" w:rsidP="00D7753C">
            <w:pPr>
              <w:rPr>
                <w:b/>
                <w:bCs/>
                <w:color w:val="000000"/>
                <w:sz w:val="26"/>
                <w:szCs w:val="26"/>
                <w:lang w:eastAsia="vi-VN"/>
              </w:rPr>
            </w:pPr>
            <w:r w:rsidRPr="00A00C37">
              <w:rPr>
                <w:b/>
                <w:bCs/>
                <w:color w:val="000000"/>
                <w:sz w:val="26"/>
                <w:szCs w:val="26"/>
                <w:lang w:eastAsia="vi-VN"/>
              </w:rPr>
              <w:t>Phôi kim loại sử dụng để đúc, dập tiền kim loại</w:t>
            </w:r>
          </w:p>
        </w:tc>
        <w:tc>
          <w:tcPr>
            <w:tcW w:w="1054" w:type="dxa"/>
            <w:shd w:val="clear" w:color="auto" w:fill="auto"/>
            <w:noWrap/>
            <w:vAlign w:val="center"/>
            <w:hideMark/>
          </w:tcPr>
          <w:p w:rsidR="008B155B" w:rsidRPr="00A00C37" w:rsidRDefault="008B155B" w:rsidP="00D7753C">
            <w:pPr>
              <w:jc w:val="center"/>
              <w:rPr>
                <w:b/>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b/>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b/>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b/>
                <w:color w:val="000000"/>
                <w:sz w:val="26"/>
                <w:szCs w:val="26"/>
                <w:lang w:val="vi-VN" w:eastAsia="vi-VN"/>
              </w:rPr>
            </w:pP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1.1</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Bằng thép hợp kim</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72</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24</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1.2</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eastAsia="vi-VN"/>
              </w:rPr>
              <w:t>Bằng thép không gỉ</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72</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18</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1.3</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eastAsia="vi-VN"/>
              </w:rPr>
              <w:t>Bằng sắt, thép không hợp kim</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72</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06</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495"/>
        </w:trPr>
        <w:tc>
          <w:tcPr>
            <w:tcW w:w="709" w:type="dxa"/>
            <w:shd w:val="clear" w:color="auto" w:fill="auto"/>
            <w:noWrap/>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t>2</w:t>
            </w:r>
          </w:p>
        </w:tc>
        <w:tc>
          <w:tcPr>
            <w:tcW w:w="5467" w:type="dxa"/>
            <w:vAlign w:val="center"/>
          </w:tcPr>
          <w:p w:rsidR="008B155B" w:rsidRPr="00A00C37" w:rsidRDefault="008B155B" w:rsidP="00D7753C">
            <w:pPr>
              <w:rPr>
                <w:b/>
                <w:color w:val="000000"/>
                <w:sz w:val="26"/>
                <w:szCs w:val="26"/>
                <w:lang w:val="vi-VN" w:eastAsia="vi-VN"/>
              </w:rPr>
            </w:pPr>
            <w:r w:rsidRPr="00A00C37">
              <w:rPr>
                <w:b/>
                <w:bCs/>
                <w:color w:val="000000"/>
                <w:sz w:val="26"/>
                <w:szCs w:val="26"/>
                <w:lang w:val="vi-VN" w:eastAsia="vi-VN"/>
              </w:rPr>
              <w:t>Giấy in tiền</w:t>
            </w:r>
          </w:p>
        </w:tc>
        <w:tc>
          <w:tcPr>
            <w:tcW w:w="1054" w:type="dxa"/>
            <w:shd w:val="clear" w:color="auto" w:fill="auto"/>
            <w:noWrap/>
            <w:vAlign w:val="center"/>
            <w:hideMark/>
          </w:tcPr>
          <w:p w:rsidR="008B155B" w:rsidRPr="00A00C37" w:rsidRDefault="008B155B" w:rsidP="00D7753C">
            <w:pPr>
              <w:jc w:val="center"/>
              <w:rPr>
                <w:b/>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b/>
                <w:color w:val="000000"/>
                <w:sz w:val="26"/>
                <w:szCs w:val="26"/>
                <w:lang w:eastAsia="vi-VN"/>
              </w:rPr>
            </w:pPr>
          </w:p>
        </w:tc>
        <w:tc>
          <w:tcPr>
            <w:tcW w:w="1418" w:type="dxa"/>
            <w:gridSpan w:val="2"/>
            <w:shd w:val="clear" w:color="auto" w:fill="auto"/>
            <w:noWrap/>
            <w:vAlign w:val="center"/>
            <w:hideMark/>
          </w:tcPr>
          <w:p w:rsidR="008B155B" w:rsidRPr="00A00C37" w:rsidRDefault="008B155B" w:rsidP="00D7753C">
            <w:pPr>
              <w:jc w:val="center"/>
              <w:rPr>
                <w:b/>
                <w:color w:val="000000"/>
                <w:sz w:val="26"/>
                <w:szCs w:val="26"/>
                <w:lang w:eastAsia="vi-VN"/>
              </w:rPr>
            </w:pP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2.1</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val="vi-VN" w:eastAsia="vi-VN"/>
              </w:rPr>
              <w:t xml:space="preserve">Giấy in </w:t>
            </w:r>
            <w:r w:rsidRPr="00A00C37">
              <w:rPr>
                <w:color w:val="000000"/>
                <w:sz w:val="26"/>
                <w:szCs w:val="26"/>
                <w:lang w:eastAsia="vi-VN"/>
              </w:rPr>
              <w:t xml:space="preserve">tiền </w:t>
            </w:r>
            <w:r w:rsidRPr="00A00C37">
              <w:rPr>
                <w:color w:val="000000"/>
                <w:sz w:val="26"/>
                <w:szCs w:val="26"/>
                <w:lang w:val="vi-VN" w:eastAsia="vi-VN"/>
              </w:rPr>
              <w:t>cotton</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2.1.1</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eastAsia="vi-VN"/>
              </w:rPr>
              <w:t>Ở dạng tờ hình chữ nhật (kể cả hình vuông) không có chiều nào trên 36 cm ở dạng không gấp</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48</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02</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11</w:t>
            </w: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2.1.2</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eastAsia="vi-VN"/>
              </w:rPr>
              <w:t>Loại khác</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48</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02</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19</w:t>
            </w:r>
          </w:p>
        </w:tc>
      </w:tr>
      <w:tr w:rsidR="008B155B" w:rsidRPr="00A00C37" w:rsidTr="00D7753C">
        <w:trPr>
          <w:trHeight w:val="45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2.2</w:t>
            </w:r>
          </w:p>
        </w:tc>
        <w:tc>
          <w:tcPr>
            <w:tcW w:w="5467" w:type="dxa"/>
            <w:vAlign w:val="center"/>
          </w:tcPr>
          <w:p w:rsidR="008B155B" w:rsidRPr="00A00C37" w:rsidRDefault="008B155B" w:rsidP="00D7753C">
            <w:pPr>
              <w:rPr>
                <w:color w:val="000000"/>
                <w:sz w:val="26"/>
                <w:szCs w:val="26"/>
                <w:lang w:eastAsia="vi-VN"/>
              </w:rPr>
            </w:pPr>
            <w:r w:rsidRPr="00A00C37">
              <w:rPr>
                <w:color w:val="000000"/>
                <w:sz w:val="26"/>
                <w:szCs w:val="26"/>
                <w:lang w:val="vi-VN" w:eastAsia="vi-VN"/>
              </w:rPr>
              <w:t xml:space="preserve">Giấy in </w:t>
            </w:r>
            <w:r w:rsidRPr="00A00C37">
              <w:rPr>
                <w:color w:val="000000"/>
                <w:sz w:val="26"/>
                <w:szCs w:val="26"/>
                <w:lang w:eastAsia="vi-VN"/>
              </w:rPr>
              <w:t>tiền</w:t>
            </w:r>
            <w:r w:rsidRPr="00A00C37">
              <w:rPr>
                <w:color w:val="000000"/>
                <w:sz w:val="26"/>
                <w:szCs w:val="26"/>
                <w:lang w:val="vi-VN" w:eastAsia="vi-VN"/>
              </w:rPr>
              <w:t xml:space="preserve"> polymer</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2.2.1</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Từ các polymer trùng hợp</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2.2.1.1</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Dạng tấm và phiến</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21</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2.2.1.2</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Loại khác</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29</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2.2.2</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Từ các polymer trùng ngưng hoặc tái sắp xếp</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2.2.2.1</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Dạng tấm và phiến</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31</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2.2.2.2</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Loại khác</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Pr>
                <w:color w:val="000000"/>
                <w:sz w:val="26"/>
                <w:szCs w:val="26"/>
                <w:lang w:eastAsia="vi-VN"/>
              </w:rPr>
              <w:t>2.2.3</w:t>
            </w:r>
          </w:p>
        </w:tc>
        <w:tc>
          <w:tcPr>
            <w:tcW w:w="5467" w:type="dxa"/>
            <w:vAlign w:val="center"/>
          </w:tcPr>
          <w:p w:rsidR="008B155B" w:rsidRPr="00A00C37" w:rsidRDefault="008B155B" w:rsidP="00D7753C">
            <w:pPr>
              <w:rPr>
                <w:bCs/>
                <w:color w:val="000000"/>
                <w:sz w:val="26"/>
                <w:szCs w:val="26"/>
                <w:lang w:eastAsia="vi-VN"/>
              </w:rPr>
            </w:pPr>
            <w:r w:rsidRPr="00A00C37">
              <w:rPr>
                <w:bCs/>
                <w:color w:val="000000"/>
                <w:sz w:val="26"/>
                <w:szCs w:val="26"/>
                <w:lang w:eastAsia="vi-VN"/>
              </w:rPr>
              <w:t>Loại khác</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39</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90</w:t>
            </w:r>
          </w:p>
        </w:tc>
      </w:tr>
      <w:tr w:rsidR="008B155B" w:rsidRPr="00A00C37" w:rsidTr="00D7753C">
        <w:trPr>
          <w:trHeight w:val="510"/>
        </w:trPr>
        <w:tc>
          <w:tcPr>
            <w:tcW w:w="709" w:type="dxa"/>
            <w:shd w:val="clear" w:color="auto" w:fill="auto"/>
            <w:noWrap/>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lastRenderedPageBreak/>
              <w:t>3</w:t>
            </w:r>
          </w:p>
        </w:tc>
        <w:tc>
          <w:tcPr>
            <w:tcW w:w="5467" w:type="dxa"/>
            <w:vAlign w:val="center"/>
          </w:tcPr>
          <w:p w:rsidR="008B155B" w:rsidRPr="00A00C37" w:rsidRDefault="008B155B" w:rsidP="00D7753C">
            <w:pPr>
              <w:rPr>
                <w:b/>
                <w:color w:val="000000"/>
                <w:sz w:val="26"/>
                <w:szCs w:val="26"/>
                <w:lang w:eastAsia="vi-VN"/>
              </w:rPr>
            </w:pPr>
            <w:r w:rsidRPr="00A00C37">
              <w:rPr>
                <w:b/>
                <w:bCs/>
                <w:color w:val="000000"/>
                <w:sz w:val="26"/>
                <w:szCs w:val="26"/>
                <w:lang w:val="vi-VN" w:eastAsia="vi-VN"/>
              </w:rPr>
              <w:t>Mực in tiền</w:t>
            </w:r>
            <w:r w:rsidRPr="00A00C37">
              <w:rPr>
                <w:b/>
                <w:bCs/>
                <w:color w:val="000000"/>
                <w:sz w:val="26"/>
                <w:szCs w:val="26"/>
                <w:lang w:eastAsia="vi-VN"/>
              </w:rPr>
              <w:t xml:space="preserve"> </w:t>
            </w:r>
          </w:p>
        </w:tc>
        <w:tc>
          <w:tcPr>
            <w:tcW w:w="1054" w:type="dxa"/>
            <w:shd w:val="clear" w:color="auto" w:fill="auto"/>
            <w:noWrap/>
            <w:vAlign w:val="center"/>
            <w:hideMark/>
          </w:tcPr>
          <w:p w:rsidR="008B155B" w:rsidRPr="00A00C37" w:rsidRDefault="008B155B" w:rsidP="00D7753C">
            <w:pPr>
              <w:jc w:val="center"/>
              <w:rPr>
                <w:b/>
                <w:color w:val="000000"/>
                <w:sz w:val="26"/>
                <w:szCs w:val="26"/>
                <w:lang w:eastAsia="vi-VN"/>
              </w:rPr>
            </w:pPr>
          </w:p>
        </w:tc>
        <w:tc>
          <w:tcPr>
            <w:tcW w:w="850" w:type="dxa"/>
            <w:shd w:val="clear" w:color="auto" w:fill="auto"/>
            <w:noWrap/>
            <w:vAlign w:val="center"/>
            <w:hideMark/>
          </w:tcPr>
          <w:p w:rsidR="008B155B" w:rsidRPr="00A00C37" w:rsidRDefault="008B155B" w:rsidP="00D7753C">
            <w:pPr>
              <w:jc w:val="center"/>
              <w:rPr>
                <w:b/>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b/>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b/>
                <w:color w:val="000000"/>
                <w:sz w:val="26"/>
                <w:szCs w:val="26"/>
                <w:lang w:val="vi-VN" w:eastAsia="vi-VN"/>
              </w:rPr>
            </w:pPr>
          </w:p>
        </w:tc>
      </w:tr>
      <w:tr w:rsidR="008B155B" w:rsidRPr="00A00C37" w:rsidTr="00D7753C">
        <w:trPr>
          <w:trHeight w:val="608"/>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3.1</w:t>
            </w:r>
          </w:p>
        </w:tc>
        <w:tc>
          <w:tcPr>
            <w:tcW w:w="5467" w:type="dxa"/>
            <w:vAlign w:val="center"/>
          </w:tcPr>
          <w:p w:rsidR="008B155B" w:rsidRPr="00A00C37" w:rsidRDefault="008B155B" w:rsidP="00D7753C">
            <w:pPr>
              <w:rPr>
                <w:bCs/>
                <w:sz w:val="26"/>
                <w:szCs w:val="26"/>
                <w:lang w:eastAsia="vi-VN"/>
              </w:rPr>
            </w:pPr>
            <w:r w:rsidRPr="00A00C37">
              <w:rPr>
                <w:bCs/>
                <w:sz w:val="26"/>
                <w:szCs w:val="26"/>
                <w:lang w:eastAsia="vi-VN"/>
              </w:rPr>
              <w:t>Mực in tiền màu đen được làm khô bằng tia cực tím</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32</w:t>
            </w:r>
          </w:p>
        </w:tc>
        <w:tc>
          <w:tcPr>
            <w:tcW w:w="850"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15</w:t>
            </w: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11</w:t>
            </w: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10</w:t>
            </w:r>
          </w:p>
        </w:tc>
      </w:tr>
      <w:tr w:rsidR="008B155B" w:rsidRPr="00A00C37" w:rsidTr="00D7753C">
        <w:trPr>
          <w:trHeight w:val="608"/>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3.2</w:t>
            </w:r>
          </w:p>
        </w:tc>
        <w:tc>
          <w:tcPr>
            <w:tcW w:w="5467" w:type="dxa"/>
            <w:vAlign w:val="center"/>
          </w:tcPr>
          <w:p w:rsidR="008B155B" w:rsidRPr="00A00C37" w:rsidRDefault="008B155B" w:rsidP="00D7753C">
            <w:pPr>
              <w:rPr>
                <w:bCs/>
                <w:sz w:val="26"/>
                <w:szCs w:val="26"/>
                <w:lang w:eastAsia="vi-VN"/>
              </w:rPr>
            </w:pPr>
            <w:r w:rsidRPr="00A00C37">
              <w:rPr>
                <w:bCs/>
                <w:sz w:val="26"/>
                <w:szCs w:val="26"/>
                <w:lang w:eastAsia="vi-VN"/>
              </w:rPr>
              <w:t>Mực in tiền màu đen loại khác</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32</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15</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11</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90</w:t>
            </w:r>
          </w:p>
        </w:tc>
      </w:tr>
      <w:tr w:rsidR="008B155B" w:rsidRPr="00A00C37" w:rsidTr="00D7753C">
        <w:trPr>
          <w:trHeight w:val="608"/>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3.3</w:t>
            </w:r>
          </w:p>
        </w:tc>
        <w:tc>
          <w:tcPr>
            <w:tcW w:w="5467" w:type="dxa"/>
            <w:shd w:val="clear" w:color="auto" w:fill="auto"/>
            <w:vAlign w:val="center"/>
          </w:tcPr>
          <w:p w:rsidR="008B155B" w:rsidRPr="00A00C37" w:rsidRDefault="008B155B" w:rsidP="00D7753C">
            <w:pPr>
              <w:rPr>
                <w:bCs/>
                <w:sz w:val="26"/>
                <w:szCs w:val="26"/>
                <w:lang w:eastAsia="vi-VN"/>
              </w:rPr>
            </w:pPr>
            <w:r w:rsidRPr="00A00C37">
              <w:rPr>
                <w:bCs/>
                <w:sz w:val="26"/>
                <w:szCs w:val="26"/>
                <w:lang w:eastAsia="vi-VN"/>
              </w:rPr>
              <w:t>Mực in tiền màu khác</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32</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15</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19</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90</w:t>
            </w:r>
          </w:p>
        </w:tc>
      </w:tr>
      <w:tr w:rsidR="008B155B" w:rsidRPr="00A00C37" w:rsidTr="00D7753C">
        <w:trPr>
          <w:trHeight w:val="420"/>
        </w:trPr>
        <w:tc>
          <w:tcPr>
            <w:tcW w:w="709" w:type="dxa"/>
            <w:shd w:val="clear" w:color="auto" w:fill="auto"/>
            <w:noWrap/>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t>4</w:t>
            </w:r>
          </w:p>
        </w:tc>
        <w:tc>
          <w:tcPr>
            <w:tcW w:w="5467" w:type="dxa"/>
            <w:vAlign w:val="center"/>
          </w:tcPr>
          <w:p w:rsidR="008B155B" w:rsidRPr="00A00C37" w:rsidRDefault="008B155B" w:rsidP="00D7753C">
            <w:pPr>
              <w:rPr>
                <w:b/>
                <w:color w:val="000000"/>
                <w:sz w:val="26"/>
                <w:szCs w:val="26"/>
                <w:lang w:eastAsia="vi-VN"/>
              </w:rPr>
            </w:pPr>
            <w:r w:rsidRPr="00A00C37">
              <w:rPr>
                <w:b/>
                <w:bCs/>
                <w:color w:val="000000"/>
                <w:sz w:val="26"/>
                <w:szCs w:val="26"/>
                <w:lang w:val="vi-VN" w:eastAsia="vi-VN"/>
              </w:rPr>
              <w:t xml:space="preserve">Máy ép </w:t>
            </w:r>
            <w:r w:rsidRPr="00A00C37">
              <w:rPr>
                <w:b/>
                <w:bCs/>
                <w:color w:val="000000"/>
                <w:sz w:val="26"/>
                <w:szCs w:val="26"/>
                <w:lang w:eastAsia="vi-VN"/>
              </w:rPr>
              <w:t xml:space="preserve">foil </w:t>
            </w:r>
            <w:r w:rsidRPr="00A00C37">
              <w:rPr>
                <w:b/>
                <w:bCs/>
                <w:color w:val="000000"/>
                <w:sz w:val="26"/>
                <w:szCs w:val="26"/>
                <w:lang w:val="vi-VN" w:eastAsia="vi-VN"/>
              </w:rPr>
              <w:t>chống giả</w:t>
            </w:r>
            <w:r w:rsidRPr="00A00C37">
              <w:rPr>
                <w:b/>
                <w:bCs/>
                <w:color w:val="000000"/>
                <w:sz w:val="26"/>
                <w:szCs w:val="26"/>
                <w:lang w:eastAsia="vi-VN"/>
              </w:rPr>
              <w:t xml:space="preserve"> </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20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10</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90</w:t>
            </w:r>
          </w:p>
        </w:tc>
      </w:tr>
      <w:tr w:rsidR="008B155B" w:rsidRPr="00A00C37" w:rsidTr="00D7753C">
        <w:trPr>
          <w:trHeight w:val="608"/>
        </w:trPr>
        <w:tc>
          <w:tcPr>
            <w:tcW w:w="709" w:type="dxa"/>
            <w:shd w:val="clear" w:color="auto" w:fill="auto"/>
            <w:noWrap/>
            <w:vAlign w:val="center"/>
            <w:hideMark/>
          </w:tcPr>
          <w:p w:rsidR="008B155B" w:rsidRPr="00A00C37" w:rsidRDefault="008B155B" w:rsidP="00D7753C">
            <w:pPr>
              <w:jc w:val="center"/>
              <w:rPr>
                <w:b/>
                <w:sz w:val="26"/>
                <w:szCs w:val="26"/>
                <w:lang w:eastAsia="vi-VN"/>
              </w:rPr>
            </w:pPr>
            <w:r w:rsidRPr="00A00C37">
              <w:rPr>
                <w:b/>
                <w:sz w:val="26"/>
                <w:szCs w:val="26"/>
                <w:lang w:eastAsia="vi-VN"/>
              </w:rPr>
              <w:t>5</w:t>
            </w:r>
          </w:p>
        </w:tc>
        <w:tc>
          <w:tcPr>
            <w:tcW w:w="5467" w:type="dxa"/>
            <w:vAlign w:val="center"/>
          </w:tcPr>
          <w:p w:rsidR="008B155B" w:rsidRPr="00A00C37" w:rsidRDefault="008B155B" w:rsidP="00D7753C">
            <w:pPr>
              <w:jc w:val="both"/>
              <w:rPr>
                <w:b/>
                <w:bCs/>
                <w:sz w:val="26"/>
                <w:szCs w:val="26"/>
                <w:lang w:eastAsia="vi-VN"/>
              </w:rPr>
            </w:pPr>
            <w:r w:rsidRPr="00A00C37">
              <w:rPr>
                <w:b/>
                <w:bCs/>
                <w:sz w:val="26"/>
                <w:szCs w:val="26"/>
                <w:lang w:eastAsia="vi-VN"/>
              </w:rPr>
              <w:t>Foil</w:t>
            </w:r>
            <w:r w:rsidRPr="00A00C37">
              <w:rPr>
                <w:b/>
                <w:bCs/>
                <w:sz w:val="26"/>
                <w:szCs w:val="26"/>
                <w:lang w:val="vi-VN" w:eastAsia="vi-VN"/>
              </w:rPr>
              <w:t xml:space="preserve"> chống giả </w:t>
            </w:r>
            <w:r w:rsidRPr="00A00C37">
              <w:rPr>
                <w:b/>
                <w:bCs/>
                <w:sz w:val="26"/>
                <w:szCs w:val="26"/>
                <w:lang w:eastAsia="vi-VN"/>
              </w:rPr>
              <w:t>để sử dụng cho tiền, ngân phiếu thanh toán và các loại ấn chỉ, giấy tờ có giá khác thuộc ngành Ngân hàng phát hành và quản lý</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49</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11</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99</w:t>
            </w:r>
          </w:p>
        </w:tc>
        <w:tc>
          <w:tcPr>
            <w:tcW w:w="709" w:type="dxa"/>
            <w:shd w:val="clear" w:color="auto" w:fill="auto"/>
            <w:noWrap/>
            <w:vAlign w:val="center"/>
            <w:hideMark/>
          </w:tcPr>
          <w:p w:rsidR="008B155B" w:rsidRPr="00A00C37" w:rsidRDefault="008B155B" w:rsidP="00D7753C">
            <w:pPr>
              <w:jc w:val="center"/>
              <w:rPr>
                <w:sz w:val="26"/>
                <w:szCs w:val="26"/>
                <w:lang w:val="vi-VN" w:eastAsia="vi-VN"/>
              </w:rPr>
            </w:pPr>
            <w:r w:rsidRPr="00A00C37">
              <w:rPr>
                <w:sz w:val="26"/>
                <w:szCs w:val="26"/>
                <w:lang w:eastAsia="vi-VN"/>
              </w:rPr>
              <w:t>90</w:t>
            </w:r>
          </w:p>
        </w:tc>
      </w:tr>
      <w:tr w:rsidR="008B155B" w:rsidRPr="00A00C37" w:rsidTr="00D7753C">
        <w:trPr>
          <w:trHeight w:val="531"/>
        </w:trPr>
        <w:tc>
          <w:tcPr>
            <w:tcW w:w="709" w:type="dxa"/>
            <w:shd w:val="clear" w:color="auto" w:fill="auto"/>
            <w:noWrap/>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t>6</w:t>
            </w:r>
          </w:p>
        </w:tc>
        <w:tc>
          <w:tcPr>
            <w:tcW w:w="5467" w:type="dxa"/>
            <w:vAlign w:val="center"/>
          </w:tcPr>
          <w:p w:rsidR="008B155B" w:rsidRPr="00A00C37" w:rsidRDefault="008B155B" w:rsidP="00D7753C">
            <w:pPr>
              <w:jc w:val="both"/>
              <w:rPr>
                <w:b/>
                <w:color w:val="000000"/>
                <w:sz w:val="26"/>
                <w:szCs w:val="26"/>
                <w:lang w:eastAsia="vi-VN"/>
              </w:rPr>
            </w:pPr>
            <w:r w:rsidRPr="00A00C37">
              <w:rPr>
                <w:b/>
                <w:bCs/>
                <w:color w:val="000000"/>
                <w:sz w:val="26"/>
                <w:szCs w:val="26"/>
                <w:lang w:val="vi-VN" w:eastAsia="vi-VN"/>
              </w:rPr>
              <w:t>Máy in tiền</w:t>
            </w:r>
          </w:p>
        </w:tc>
        <w:tc>
          <w:tcPr>
            <w:tcW w:w="1054"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850"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p>
        </w:tc>
      </w:tr>
      <w:tr w:rsidR="008B155B" w:rsidRPr="00A00C37" w:rsidTr="00D7753C">
        <w:trPr>
          <w:trHeight w:val="491"/>
        </w:trPr>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6.1</w:t>
            </w:r>
          </w:p>
        </w:tc>
        <w:tc>
          <w:tcPr>
            <w:tcW w:w="5467" w:type="dxa"/>
            <w:vAlign w:val="center"/>
          </w:tcPr>
          <w:p w:rsidR="008B155B" w:rsidRPr="00A00C37" w:rsidRDefault="008B155B" w:rsidP="00D7753C">
            <w:pPr>
              <w:rPr>
                <w:sz w:val="26"/>
                <w:szCs w:val="26"/>
                <w:lang w:eastAsia="vi-VN"/>
              </w:rPr>
            </w:pPr>
            <w:r w:rsidRPr="00A00C37">
              <w:rPr>
                <w:sz w:val="26"/>
                <w:szCs w:val="26"/>
                <w:lang w:val="vi-VN" w:eastAsia="vi-VN"/>
              </w:rPr>
              <w:t>Máy phủ Varnish</w:t>
            </w:r>
            <w:r w:rsidRPr="00A00C37">
              <w:rPr>
                <w:sz w:val="26"/>
                <w:szCs w:val="26"/>
                <w:lang w:eastAsia="vi-VN"/>
              </w:rPr>
              <w:t xml:space="preserve"> </w:t>
            </w:r>
          </w:p>
        </w:tc>
        <w:tc>
          <w:tcPr>
            <w:tcW w:w="1054" w:type="dxa"/>
            <w:shd w:val="clear" w:color="auto" w:fill="auto"/>
            <w:noWrap/>
            <w:vAlign w:val="center"/>
            <w:hideMark/>
          </w:tcPr>
          <w:p w:rsidR="008B155B" w:rsidRPr="00A00C37" w:rsidRDefault="008B155B" w:rsidP="00D7753C">
            <w:pPr>
              <w:jc w:val="center"/>
              <w:rPr>
                <w:sz w:val="26"/>
                <w:szCs w:val="26"/>
                <w:lang w:eastAsia="vi-VN"/>
              </w:rPr>
            </w:pPr>
          </w:p>
        </w:tc>
        <w:tc>
          <w:tcPr>
            <w:tcW w:w="850" w:type="dxa"/>
            <w:shd w:val="clear" w:color="auto" w:fill="auto"/>
            <w:noWrap/>
            <w:vAlign w:val="center"/>
            <w:hideMark/>
          </w:tcPr>
          <w:p w:rsidR="008B155B" w:rsidRPr="00A00C37" w:rsidRDefault="008B155B" w:rsidP="00D7753C">
            <w:pPr>
              <w:jc w:val="center"/>
              <w:rPr>
                <w:sz w:val="26"/>
                <w:szCs w:val="26"/>
                <w:lang w:val="vi-VN" w:eastAsia="vi-VN"/>
              </w:rPr>
            </w:pPr>
          </w:p>
        </w:tc>
        <w:tc>
          <w:tcPr>
            <w:tcW w:w="709" w:type="dxa"/>
            <w:shd w:val="clear" w:color="auto" w:fill="auto"/>
            <w:noWrap/>
            <w:vAlign w:val="center"/>
            <w:hideMark/>
          </w:tcPr>
          <w:p w:rsidR="008B155B" w:rsidRPr="00A00C37" w:rsidRDefault="008B155B" w:rsidP="00D7753C">
            <w:pPr>
              <w:jc w:val="center"/>
              <w:rPr>
                <w:sz w:val="26"/>
                <w:szCs w:val="26"/>
                <w:lang w:val="vi-VN" w:eastAsia="vi-VN"/>
              </w:rPr>
            </w:pPr>
          </w:p>
        </w:tc>
        <w:tc>
          <w:tcPr>
            <w:tcW w:w="709" w:type="dxa"/>
            <w:shd w:val="clear" w:color="auto" w:fill="auto"/>
            <w:noWrap/>
            <w:vAlign w:val="center"/>
            <w:hideMark/>
          </w:tcPr>
          <w:p w:rsidR="008B155B" w:rsidRPr="00A00C37" w:rsidRDefault="008B155B" w:rsidP="00D7753C">
            <w:pPr>
              <w:jc w:val="center"/>
              <w:rPr>
                <w:sz w:val="26"/>
                <w:szCs w:val="26"/>
                <w:lang w:val="vi-VN" w:eastAsia="vi-VN"/>
              </w:rPr>
            </w:pPr>
          </w:p>
        </w:tc>
      </w:tr>
      <w:tr w:rsidR="008B155B" w:rsidRPr="00A00C37" w:rsidTr="00D7753C">
        <w:trPr>
          <w:trHeight w:val="491"/>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6.1.1</w:t>
            </w:r>
          </w:p>
        </w:tc>
        <w:tc>
          <w:tcPr>
            <w:tcW w:w="5467" w:type="dxa"/>
            <w:vAlign w:val="center"/>
          </w:tcPr>
          <w:p w:rsidR="008B155B" w:rsidRPr="00A00C37" w:rsidRDefault="008B155B" w:rsidP="00D7753C">
            <w:pPr>
              <w:rPr>
                <w:sz w:val="26"/>
                <w:szCs w:val="26"/>
                <w:lang w:eastAsia="vi-VN"/>
              </w:rPr>
            </w:pPr>
            <w:r w:rsidRPr="00A00C37">
              <w:rPr>
                <w:sz w:val="26"/>
                <w:szCs w:val="26"/>
                <w:lang w:eastAsia="vi-VN"/>
              </w:rPr>
              <w:t xml:space="preserve">Máy in phủ </w:t>
            </w:r>
            <w:r>
              <w:rPr>
                <w:sz w:val="26"/>
                <w:szCs w:val="26"/>
                <w:lang w:eastAsia="vi-VN"/>
              </w:rPr>
              <w:t>Varnish theo công nghệ in Flexo</w:t>
            </w:r>
            <w:r w:rsidRPr="00A00C37">
              <w:rPr>
                <w:sz w:val="26"/>
                <w:szCs w:val="26"/>
                <w:lang w:eastAsia="vi-VN"/>
              </w:rPr>
              <w:t xml:space="preserve"> Có thể in được mực không màu phát quang UV</w:t>
            </w:r>
            <w:r>
              <w:rPr>
                <w:sz w:val="26"/>
                <w:szCs w:val="26"/>
                <w:lang w:eastAsia="vi-VN"/>
              </w:rPr>
              <w:t xml:space="preserve"> </w:t>
            </w:r>
            <w:r w:rsidRPr="00764E9B">
              <w:rPr>
                <w:i/>
                <w:sz w:val="26"/>
                <w:szCs w:val="26"/>
                <w:lang w:eastAsia="vi-VN"/>
              </w:rPr>
              <w:t>(Loại in tờ rời)</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84</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43</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16</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00</w:t>
            </w:r>
          </w:p>
        </w:tc>
      </w:tr>
      <w:tr w:rsidR="008B155B" w:rsidRPr="00A00C37" w:rsidTr="00D7753C">
        <w:trPr>
          <w:trHeight w:val="491"/>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6.1.2</w:t>
            </w:r>
          </w:p>
        </w:tc>
        <w:tc>
          <w:tcPr>
            <w:tcW w:w="5467" w:type="dxa"/>
            <w:vAlign w:val="center"/>
          </w:tcPr>
          <w:p w:rsidR="008B155B" w:rsidRDefault="008B155B" w:rsidP="00D7753C">
            <w:pPr>
              <w:rPr>
                <w:sz w:val="26"/>
                <w:szCs w:val="26"/>
                <w:lang w:eastAsia="vi-VN"/>
              </w:rPr>
            </w:pPr>
            <w:r w:rsidRPr="00A00C37">
              <w:rPr>
                <w:sz w:val="26"/>
                <w:szCs w:val="26"/>
                <w:lang w:eastAsia="vi-VN"/>
              </w:rPr>
              <w:t>Máy in phủ Varnish theo công nghệ in Offset</w:t>
            </w:r>
          </w:p>
          <w:p w:rsidR="008B155B" w:rsidRPr="00C40911" w:rsidRDefault="008B155B" w:rsidP="00D7753C">
            <w:pPr>
              <w:rPr>
                <w:sz w:val="26"/>
                <w:szCs w:val="26"/>
                <w:lang w:eastAsia="vi-VN"/>
              </w:rPr>
            </w:pPr>
            <w:r w:rsidRPr="00A00C37">
              <w:rPr>
                <w:sz w:val="26"/>
                <w:szCs w:val="26"/>
                <w:lang w:eastAsia="vi-VN"/>
              </w:rPr>
              <w:t>Có thể in được mực không màu phát quang UV</w:t>
            </w:r>
            <w:r w:rsidRPr="00C40911">
              <w:rPr>
                <w:i/>
                <w:sz w:val="26"/>
                <w:szCs w:val="26"/>
                <w:lang w:eastAsia="vi-VN"/>
              </w:rPr>
              <w:t xml:space="preserve"> (Loại in tờ rời, có kích thước tờ in tối đa ở dạng không gấp một chiều trên 22cm và chiều kia trên 36cm)</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84</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43</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13</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00</w:t>
            </w:r>
          </w:p>
        </w:tc>
      </w:tr>
      <w:tr w:rsidR="008B155B" w:rsidRPr="00A00C37" w:rsidTr="00D7753C">
        <w:trPr>
          <w:trHeight w:val="491"/>
        </w:trPr>
        <w:tc>
          <w:tcPr>
            <w:tcW w:w="709" w:type="dxa"/>
            <w:shd w:val="clear" w:color="auto" w:fill="auto"/>
            <w:noWrap/>
            <w:vAlign w:val="center"/>
            <w:hideMark/>
          </w:tcPr>
          <w:p w:rsidR="008B155B" w:rsidRPr="00A00C37" w:rsidRDefault="008B155B" w:rsidP="00D7753C">
            <w:pPr>
              <w:jc w:val="center"/>
              <w:rPr>
                <w:sz w:val="26"/>
                <w:szCs w:val="26"/>
                <w:lang w:eastAsia="vi-VN"/>
              </w:rPr>
            </w:pPr>
            <w:r>
              <w:rPr>
                <w:sz w:val="26"/>
                <w:szCs w:val="26"/>
                <w:lang w:eastAsia="vi-VN"/>
              </w:rPr>
              <w:t>6.1.3</w:t>
            </w:r>
          </w:p>
        </w:tc>
        <w:tc>
          <w:tcPr>
            <w:tcW w:w="5467" w:type="dxa"/>
            <w:vAlign w:val="center"/>
          </w:tcPr>
          <w:p w:rsidR="008B155B" w:rsidRDefault="008B155B" w:rsidP="00D7753C">
            <w:pPr>
              <w:rPr>
                <w:sz w:val="26"/>
                <w:szCs w:val="26"/>
                <w:lang w:eastAsia="vi-VN"/>
              </w:rPr>
            </w:pPr>
            <w:r w:rsidRPr="00A00C37">
              <w:rPr>
                <w:sz w:val="26"/>
                <w:szCs w:val="26"/>
                <w:lang w:eastAsia="vi-VN"/>
              </w:rPr>
              <w:t xml:space="preserve">Máy in phủ Varnish kết hợp cả công nghệ Flexo và Offset </w:t>
            </w:r>
          </w:p>
          <w:p w:rsidR="008B155B" w:rsidRDefault="008B155B" w:rsidP="00D7753C">
            <w:pPr>
              <w:rPr>
                <w:sz w:val="26"/>
                <w:szCs w:val="26"/>
                <w:lang w:eastAsia="vi-VN"/>
              </w:rPr>
            </w:pPr>
            <w:r w:rsidRPr="00A00C37">
              <w:rPr>
                <w:sz w:val="26"/>
                <w:szCs w:val="26"/>
                <w:lang w:eastAsia="vi-VN"/>
              </w:rPr>
              <w:t>Có thể in được mực không màu phát quang UV</w:t>
            </w:r>
          </w:p>
          <w:p w:rsidR="008B155B" w:rsidRPr="00A00C37" w:rsidRDefault="008B155B" w:rsidP="00D7753C">
            <w:pPr>
              <w:jc w:val="both"/>
              <w:rPr>
                <w:sz w:val="26"/>
                <w:szCs w:val="26"/>
                <w:lang w:val="vi-VN" w:eastAsia="vi-VN"/>
              </w:rPr>
            </w:pPr>
            <w:r w:rsidRPr="00C40911">
              <w:rPr>
                <w:i/>
                <w:sz w:val="26"/>
                <w:szCs w:val="26"/>
                <w:lang w:eastAsia="vi-VN"/>
              </w:rPr>
              <w:t>(Loại in tờ rời, có kích thước tờ in tối đa ở dạng không gấp một chiều trên 22cm và chiều kia trên 36cm)</w:t>
            </w:r>
          </w:p>
        </w:tc>
        <w:tc>
          <w:tcPr>
            <w:tcW w:w="1054"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84</w:t>
            </w:r>
          </w:p>
        </w:tc>
        <w:tc>
          <w:tcPr>
            <w:tcW w:w="850"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43</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1</w:t>
            </w:r>
            <w:r>
              <w:rPr>
                <w:sz w:val="26"/>
                <w:szCs w:val="26"/>
                <w:lang w:eastAsia="vi-VN"/>
              </w:rPr>
              <w:t>6</w:t>
            </w:r>
          </w:p>
        </w:tc>
        <w:tc>
          <w:tcPr>
            <w:tcW w:w="709" w:type="dxa"/>
            <w:shd w:val="clear" w:color="auto" w:fill="auto"/>
            <w:noWrap/>
            <w:vAlign w:val="center"/>
            <w:hideMark/>
          </w:tcPr>
          <w:p w:rsidR="008B155B" w:rsidRPr="00A00C37" w:rsidRDefault="008B155B" w:rsidP="00D7753C">
            <w:pPr>
              <w:jc w:val="center"/>
              <w:rPr>
                <w:sz w:val="26"/>
                <w:szCs w:val="26"/>
                <w:lang w:eastAsia="vi-VN"/>
              </w:rPr>
            </w:pPr>
            <w:r w:rsidRPr="00A00C37">
              <w:rPr>
                <w:sz w:val="26"/>
                <w:szCs w:val="26"/>
                <w:lang w:eastAsia="vi-VN"/>
              </w:rPr>
              <w:t>00</w:t>
            </w:r>
          </w:p>
        </w:tc>
      </w:tr>
      <w:tr w:rsidR="008B155B" w:rsidRPr="00A00C37" w:rsidTr="00D7753C">
        <w:trPr>
          <w:trHeight w:val="480"/>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6.2</w:t>
            </w:r>
          </w:p>
        </w:tc>
        <w:tc>
          <w:tcPr>
            <w:tcW w:w="5467" w:type="dxa"/>
            <w:vAlign w:val="center"/>
          </w:tcPr>
          <w:p w:rsidR="008B155B" w:rsidRDefault="008B155B" w:rsidP="00D7753C">
            <w:pPr>
              <w:rPr>
                <w:color w:val="000000"/>
                <w:sz w:val="26"/>
                <w:szCs w:val="26"/>
                <w:lang w:val="vi-VN" w:eastAsia="vi-VN"/>
              </w:rPr>
            </w:pPr>
            <w:r w:rsidRPr="00A00C37">
              <w:rPr>
                <w:color w:val="000000"/>
                <w:sz w:val="26"/>
                <w:szCs w:val="26"/>
                <w:lang w:val="vi-VN" w:eastAsia="vi-VN"/>
              </w:rPr>
              <w:t xml:space="preserve">Máy in số </w:t>
            </w:r>
          </w:p>
          <w:p w:rsidR="008B155B" w:rsidRPr="00C40911" w:rsidRDefault="008B155B" w:rsidP="00D7753C">
            <w:pPr>
              <w:rPr>
                <w:i/>
                <w:color w:val="000000"/>
                <w:sz w:val="26"/>
                <w:szCs w:val="26"/>
                <w:lang w:eastAsia="vi-VN"/>
              </w:rPr>
            </w:pPr>
            <w:r w:rsidRPr="00C40911">
              <w:rPr>
                <w:i/>
                <w:color w:val="000000"/>
                <w:sz w:val="26"/>
                <w:szCs w:val="26"/>
                <w:lang w:eastAsia="vi-VN"/>
              </w:rPr>
              <w:t>(Máy in theo công nghệ in Typo, sử dụng khuôn in dạng hộp số nhảy)</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43</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435"/>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6.3</w:t>
            </w:r>
          </w:p>
        </w:tc>
        <w:tc>
          <w:tcPr>
            <w:tcW w:w="5467" w:type="dxa"/>
            <w:vAlign w:val="center"/>
          </w:tcPr>
          <w:p w:rsidR="008B155B" w:rsidRDefault="008B155B" w:rsidP="00D7753C">
            <w:pPr>
              <w:rPr>
                <w:color w:val="000000"/>
                <w:sz w:val="26"/>
                <w:szCs w:val="26"/>
                <w:lang w:eastAsia="vi-VN"/>
              </w:rPr>
            </w:pPr>
            <w:r w:rsidRPr="00A00C37">
              <w:rPr>
                <w:color w:val="000000"/>
                <w:sz w:val="26"/>
                <w:szCs w:val="26"/>
                <w:lang w:val="vi-VN" w:eastAsia="vi-VN"/>
              </w:rPr>
              <w:t xml:space="preserve">Máy </w:t>
            </w:r>
            <w:r w:rsidRPr="00A00C37">
              <w:rPr>
                <w:color w:val="000000"/>
                <w:sz w:val="26"/>
                <w:szCs w:val="26"/>
                <w:lang w:eastAsia="vi-VN"/>
              </w:rPr>
              <w:t xml:space="preserve">in lõm </w:t>
            </w:r>
          </w:p>
          <w:p w:rsidR="008B155B" w:rsidRPr="00A00C37" w:rsidRDefault="008B155B" w:rsidP="00D7753C">
            <w:pPr>
              <w:rPr>
                <w:color w:val="000000"/>
                <w:sz w:val="26"/>
                <w:szCs w:val="26"/>
                <w:lang w:eastAsia="vi-VN"/>
              </w:rPr>
            </w:pPr>
            <w:r>
              <w:rPr>
                <w:color w:val="000000"/>
                <w:sz w:val="26"/>
                <w:szCs w:val="26"/>
                <w:lang w:eastAsia="vi-VN"/>
              </w:rPr>
              <w:t>(</w:t>
            </w:r>
            <w:r w:rsidRPr="00C40911">
              <w:rPr>
                <w:i/>
                <w:color w:val="000000"/>
                <w:sz w:val="26"/>
                <w:szCs w:val="26"/>
                <w:lang w:eastAsia="vi-VN"/>
              </w:rPr>
              <w:t>Máy in sử dụng công nghệ in lõm (in Intaglio)</w:t>
            </w:r>
            <w:r>
              <w:rPr>
                <w:i/>
                <w:color w:val="000000"/>
                <w:sz w:val="26"/>
                <w:szCs w:val="26"/>
                <w:lang w:eastAsia="vi-VN"/>
              </w:rPr>
              <w:t>)</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43</w:t>
            </w: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19</w:t>
            </w: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00</w:t>
            </w:r>
          </w:p>
        </w:tc>
      </w:tr>
      <w:tr w:rsidR="008B155B" w:rsidRPr="00A00C37" w:rsidTr="00D7753C">
        <w:trPr>
          <w:trHeight w:val="435"/>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6.4</w:t>
            </w:r>
          </w:p>
        </w:tc>
        <w:tc>
          <w:tcPr>
            <w:tcW w:w="5467" w:type="dxa"/>
            <w:vAlign w:val="center"/>
          </w:tcPr>
          <w:p w:rsidR="008B155B" w:rsidRDefault="008B155B" w:rsidP="00D7753C">
            <w:pPr>
              <w:rPr>
                <w:color w:val="000000"/>
                <w:sz w:val="26"/>
                <w:szCs w:val="26"/>
                <w:lang w:eastAsia="vi-VN"/>
              </w:rPr>
            </w:pPr>
            <w:r w:rsidRPr="00A00C37">
              <w:rPr>
                <w:color w:val="000000"/>
                <w:sz w:val="26"/>
                <w:szCs w:val="26"/>
                <w:lang w:val="vi-VN" w:eastAsia="vi-VN"/>
              </w:rPr>
              <w:t xml:space="preserve">Máy </w:t>
            </w:r>
            <w:r w:rsidRPr="00A00C37">
              <w:rPr>
                <w:color w:val="000000"/>
                <w:sz w:val="26"/>
                <w:szCs w:val="26"/>
                <w:lang w:eastAsia="vi-VN"/>
              </w:rPr>
              <w:t xml:space="preserve">in Offset </w:t>
            </w:r>
          </w:p>
          <w:p w:rsidR="008B155B" w:rsidRPr="00A00C37" w:rsidRDefault="008B155B" w:rsidP="00D7753C">
            <w:pPr>
              <w:jc w:val="both"/>
              <w:rPr>
                <w:color w:val="000000"/>
                <w:sz w:val="26"/>
                <w:szCs w:val="26"/>
                <w:lang w:eastAsia="vi-VN"/>
              </w:rPr>
            </w:pPr>
            <w:r w:rsidRPr="00172E16">
              <w:rPr>
                <w:i/>
                <w:color w:val="000000"/>
                <w:sz w:val="26"/>
                <w:szCs w:val="26"/>
                <w:lang w:eastAsia="vi-VN"/>
              </w:rPr>
              <w:t>(Máy in sử dụng công nghệ in offset, l</w:t>
            </w:r>
            <w:r w:rsidRPr="00172E16">
              <w:rPr>
                <w:i/>
                <w:sz w:val="26"/>
                <w:szCs w:val="26"/>
                <w:lang w:eastAsia="vi-VN"/>
              </w:rPr>
              <w:t>oại</w:t>
            </w:r>
            <w:r w:rsidRPr="00C40911">
              <w:rPr>
                <w:i/>
                <w:sz w:val="26"/>
                <w:szCs w:val="26"/>
                <w:lang w:eastAsia="vi-VN"/>
              </w:rPr>
              <w:t xml:space="preserve"> in tờ rời, có kích thước tờ in tối đa ở dạng không gấp một chiều trên 22cm và chiều kia trên 36cm)</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43</w:t>
            </w:r>
          </w:p>
        </w:tc>
        <w:tc>
          <w:tcPr>
            <w:tcW w:w="709" w:type="dxa"/>
            <w:shd w:val="clear" w:color="auto" w:fill="auto"/>
            <w:noWrap/>
            <w:vAlign w:val="center"/>
            <w:hideMark/>
          </w:tcPr>
          <w:p w:rsidR="008B155B" w:rsidRPr="00A00C37" w:rsidRDefault="008B155B" w:rsidP="00D7753C">
            <w:pPr>
              <w:jc w:val="center"/>
              <w:rPr>
                <w:color w:val="000000"/>
                <w:sz w:val="26"/>
                <w:szCs w:val="26"/>
                <w:lang w:val="vi-VN" w:eastAsia="vi-VN"/>
              </w:rPr>
            </w:pPr>
            <w:r w:rsidRPr="00A00C37">
              <w:rPr>
                <w:color w:val="000000"/>
                <w:sz w:val="26"/>
                <w:szCs w:val="26"/>
                <w:lang w:eastAsia="vi-VN"/>
              </w:rPr>
              <w:t>13</w:t>
            </w:r>
          </w:p>
        </w:tc>
        <w:tc>
          <w:tcPr>
            <w:tcW w:w="709" w:type="dxa"/>
            <w:shd w:val="clear" w:color="auto" w:fill="auto"/>
            <w:noWrap/>
            <w:vAlign w:val="center"/>
            <w:hideMark/>
          </w:tcPr>
          <w:p w:rsidR="008B155B" w:rsidRPr="00A00C37" w:rsidRDefault="008B155B" w:rsidP="00D7753C">
            <w:pPr>
              <w:spacing w:before="60"/>
              <w:jc w:val="center"/>
              <w:rPr>
                <w:color w:val="000000"/>
                <w:sz w:val="26"/>
                <w:szCs w:val="26"/>
                <w:lang w:eastAsia="vi-VN"/>
              </w:rPr>
            </w:pPr>
            <w:r w:rsidRPr="00A00C37">
              <w:rPr>
                <w:color w:val="000000"/>
                <w:sz w:val="26"/>
                <w:szCs w:val="26"/>
                <w:lang w:eastAsia="vi-VN"/>
              </w:rPr>
              <w:t>00</w:t>
            </w:r>
          </w:p>
        </w:tc>
      </w:tr>
      <w:tr w:rsidR="008B155B" w:rsidRPr="00A00C37" w:rsidTr="00D7753C">
        <w:trPr>
          <w:trHeight w:val="435"/>
        </w:trPr>
        <w:tc>
          <w:tcPr>
            <w:tcW w:w="709" w:type="dxa"/>
            <w:shd w:val="clear" w:color="auto" w:fill="auto"/>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6.5</w:t>
            </w:r>
          </w:p>
        </w:tc>
        <w:tc>
          <w:tcPr>
            <w:tcW w:w="5467" w:type="dxa"/>
            <w:vAlign w:val="center"/>
          </w:tcPr>
          <w:p w:rsidR="008B155B" w:rsidRDefault="008B155B" w:rsidP="00D7753C">
            <w:pPr>
              <w:rPr>
                <w:color w:val="000000"/>
                <w:sz w:val="26"/>
                <w:szCs w:val="26"/>
                <w:lang w:eastAsia="vi-VN"/>
              </w:rPr>
            </w:pPr>
            <w:r w:rsidRPr="00A00C37">
              <w:rPr>
                <w:color w:val="000000"/>
                <w:sz w:val="26"/>
                <w:szCs w:val="26"/>
                <w:lang w:eastAsia="vi-VN"/>
              </w:rPr>
              <w:t xml:space="preserve">Máy in lưới </w:t>
            </w:r>
          </w:p>
          <w:p w:rsidR="008B155B" w:rsidRPr="00172E16" w:rsidRDefault="008B155B" w:rsidP="00D7753C">
            <w:pPr>
              <w:rPr>
                <w:i/>
                <w:color w:val="000000"/>
                <w:sz w:val="26"/>
                <w:szCs w:val="26"/>
                <w:lang w:eastAsia="vi-VN"/>
              </w:rPr>
            </w:pPr>
            <w:r w:rsidRPr="00172E16">
              <w:rPr>
                <w:i/>
                <w:color w:val="000000"/>
                <w:sz w:val="26"/>
                <w:szCs w:val="26"/>
                <w:lang w:eastAsia="vi-VN"/>
              </w:rPr>
              <w:t>(Máy sử dụng khuôn lưới dạng ống tròn, loại in tờ rời)</w:t>
            </w:r>
          </w:p>
        </w:tc>
        <w:tc>
          <w:tcPr>
            <w:tcW w:w="1054"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43</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19</w:t>
            </w:r>
          </w:p>
        </w:tc>
        <w:tc>
          <w:tcPr>
            <w:tcW w:w="709" w:type="dxa"/>
            <w:shd w:val="clear" w:color="auto" w:fill="auto"/>
            <w:noWrap/>
            <w:vAlign w:val="center"/>
            <w:hideMark/>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435"/>
        </w:trPr>
        <w:tc>
          <w:tcPr>
            <w:tcW w:w="709" w:type="dxa"/>
            <w:shd w:val="clear" w:color="auto" w:fill="auto"/>
            <w:vAlign w:val="center"/>
            <w:hideMark/>
          </w:tcPr>
          <w:p w:rsidR="008B155B" w:rsidRPr="00A00C37" w:rsidRDefault="008B155B" w:rsidP="00D7753C">
            <w:pPr>
              <w:jc w:val="center"/>
              <w:rPr>
                <w:b/>
                <w:color w:val="000000"/>
                <w:sz w:val="26"/>
                <w:szCs w:val="26"/>
                <w:lang w:eastAsia="vi-VN"/>
              </w:rPr>
            </w:pPr>
            <w:r w:rsidRPr="00A00C37">
              <w:rPr>
                <w:b/>
                <w:color w:val="000000"/>
                <w:sz w:val="26"/>
                <w:szCs w:val="26"/>
                <w:lang w:eastAsia="vi-VN"/>
              </w:rPr>
              <w:t>7</w:t>
            </w:r>
          </w:p>
        </w:tc>
        <w:tc>
          <w:tcPr>
            <w:tcW w:w="5467" w:type="dxa"/>
            <w:vAlign w:val="center"/>
          </w:tcPr>
          <w:p w:rsidR="008B155B" w:rsidRPr="00A00C37" w:rsidRDefault="008B155B" w:rsidP="00D7753C">
            <w:pPr>
              <w:rPr>
                <w:b/>
                <w:color w:val="000000"/>
                <w:sz w:val="26"/>
                <w:szCs w:val="26"/>
                <w:lang w:eastAsia="vi-VN"/>
              </w:rPr>
            </w:pPr>
            <w:r w:rsidRPr="00A00C37">
              <w:rPr>
                <w:b/>
                <w:color w:val="000000"/>
                <w:sz w:val="26"/>
                <w:szCs w:val="26"/>
                <w:lang w:eastAsia="vi-VN"/>
              </w:rPr>
              <w:t>Máy đúc, dập tiền kim loại</w:t>
            </w:r>
          </w:p>
        </w:tc>
        <w:tc>
          <w:tcPr>
            <w:tcW w:w="1054" w:type="dxa"/>
            <w:shd w:val="clear" w:color="auto" w:fill="auto"/>
            <w:noWrap/>
            <w:vAlign w:val="center"/>
          </w:tcPr>
          <w:p w:rsidR="008B155B" w:rsidRPr="00A00C37" w:rsidRDefault="008B155B" w:rsidP="00D7753C">
            <w:pPr>
              <w:jc w:val="center"/>
              <w:rPr>
                <w:color w:val="000000"/>
                <w:sz w:val="26"/>
                <w:szCs w:val="26"/>
                <w:lang w:eastAsia="vi-VN"/>
              </w:rPr>
            </w:pPr>
          </w:p>
        </w:tc>
        <w:tc>
          <w:tcPr>
            <w:tcW w:w="850" w:type="dxa"/>
            <w:shd w:val="clear" w:color="auto" w:fill="auto"/>
            <w:noWrap/>
            <w:vAlign w:val="center"/>
          </w:tcPr>
          <w:p w:rsidR="008B155B" w:rsidRPr="00A00C37" w:rsidRDefault="008B155B" w:rsidP="00D7753C">
            <w:pPr>
              <w:jc w:val="center"/>
              <w:rPr>
                <w:color w:val="000000"/>
                <w:sz w:val="26"/>
                <w:szCs w:val="26"/>
                <w:lang w:eastAsia="vi-VN"/>
              </w:rPr>
            </w:pPr>
          </w:p>
        </w:tc>
        <w:tc>
          <w:tcPr>
            <w:tcW w:w="709" w:type="dxa"/>
            <w:shd w:val="clear" w:color="auto" w:fill="auto"/>
            <w:noWrap/>
            <w:vAlign w:val="center"/>
          </w:tcPr>
          <w:p w:rsidR="008B155B" w:rsidRPr="00A00C37" w:rsidRDefault="008B155B" w:rsidP="00D7753C">
            <w:pPr>
              <w:jc w:val="center"/>
              <w:rPr>
                <w:color w:val="000000"/>
                <w:sz w:val="26"/>
                <w:szCs w:val="26"/>
                <w:lang w:eastAsia="vi-VN"/>
              </w:rPr>
            </w:pPr>
          </w:p>
        </w:tc>
        <w:tc>
          <w:tcPr>
            <w:tcW w:w="709" w:type="dxa"/>
            <w:shd w:val="clear" w:color="auto" w:fill="auto"/>
            <w:noWrap/>
            <w:vAlign w:val="center"/>
          </w:tcPr>
          <w:p w:rsidR="008B155B" w:rsidRPr="00A00C37" w:rsidRDefault="008B155B" w:rsidP="00D7753C">
            <w:pPr>
              <w:jc w:val="center"/>
              <w:rPr>
                <w:color w:val="000000"/>
                <w:sz w:val="26"/>
                <w:szCs w:val="26"/>
                <w:lang w:eastAsia="vi-VN"/>
              </w:rPr>
            </w:pPr>
          </w:p>
        </w:tc>
      </w:tr>
      <w:tr w:rsidR="008B155B" w:rsidRPr="00A00C37" w:rsidTr="00D7753C">
        <w:trPr>
          <w:trHeight w:val="435"/>
        </w:trPr>
        <w:tc>
          <w:tcPr>
            <w:tcW w:w="709" w:type="dxa"/>
            <w:shd w:val="clear" w:color="auto" w:fill="auto"/>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7.1</w:t>
            </w:r>
          </w:p>
        </w:tc>
        <w:tc>
          <w:tcPr>
            <w:tcW w:w="5467" w:type="dxa"/>
            <w:shd w:val="clear" w:color="auto" w:fill="auto"/>
            <w:vAlign w:val="center"/>
          </w:tcPr>
          <w:p w:rsidR="008B155B" w:rsidRPr="00A00C37" w:rsidRDefault="008B155B" w:rsidP="00D7753C">
            <w:pPr>
              <w:rPr>
                <w:color w:val="000000"/>
                <w:sz w:val="26"/>
                <w:szCs w:val="26"/>
                <w:lang w:eastAsia="vi-VN"/>
              </w:rPr>
            </w:pPr>
            <w:r w:rsidRPr="00A00C37">
              <w:rPr>
                <w:color w:val="000000"/>
                <w:sz w:val="26"/>
                <w:szCs w:val="26"/>
                <w:lang w:eastAsia="vi-VN"/>
              </w:rPr>
              <w:t>Máy đúc tiền kim loại theo công nghệ làm nóng chảy kim loại thành dạng lỏng</w:t>
            </w:r>
          </w:p>
        </w:tc>
        <w:tc>
          <w:tcPr>
            <w:tcW w:w="1054"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84</w:t>
            </w:r>
          </w:p>
        </w:tc>
        <w:tc>
          <w:tcPr>
            <w:tcW w:w="850"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54</w:t>
            </w:r>
          </w:p>
        </w:tc>
        <w:tc>
          <w:tcPr>
            <w:tcW w:w="709"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30</w:t>
            </w:r>
          </w:p>
        </w:tc>
        <w:tc>
          <w:tcPr>
            <w:tcW w:w="709"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r w:rsidR="008B155B" w:rsidRPr="00A00C37" w:rsidTr="00D7753C">
        <w:trPr>
          <w:trHeight w:val="435"/>
        </w:trPr>
        <w:tc>
          <w:tcPr>
            <w:tcW w:w="709" w:type="dxa"/>
            <w:shd w:val="clear" w:color="auto" w:fill="auto"/>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7.2</w:t>
            </w:r>
          </w:p>
        </w:tc>
        <w:tc>
          <w:tcPr>
            <w:tcW w:w="5467" w:type="dxa"/>
            <w:shd w:val="clear" w:color="auto" w:fill="auto"/>
            <w:vAlign w:val="center"/>
          </w:tcPr>
          <w:p w:rsidR="008B155B" w:rsidRDefault="008B155B" w:rsidP="00D7753C">
            <w:pPr>
              <w:rPr>
                <w:color w:val="000000"/>
                <w:sz w:val="26"/>
                <w:szCs w:val="26"/>
                <w:lang w:eastAsia="vi-VN"/>
              </w:rPr>
            </w:pPr>
            <w:r w:rsidRPr="00A00C37">
              <w:rPr>
                <w:color w:val="000000"/>
                <w:sz w:val="26"/>
                <w:szCs w:val="26"/>
                <w:lang w:eastAsia="vi-VN"/>
              </w:rPr>
              <w:t>Máy dập tiền kim loại</w:t>
            </w:r>
          </w:p>
          <w:p w:rsidR="008B155B" w:rsidRPr="003A1CF6" w:rsidRDefault="008B155B" w:rsidP="00D7753C">
            <w:pPr>
              <w:jc w:val="both"/>
              <w:rPr>
                <w:i/>
                <w:color w:val="000000"/>
                <w:sz w:val="26"/>
                <w:szCs w:val="26"/>
                <w:lang w:eastAsia="vi-VN"/>
              </w:rPr>
            </w:pPr>
            <w:r w:rsidRPr="003A1CF6">
              <w:rPr>
                <w:i/>
                <w:color w:val="000000"/>
                <w:sz w:val="26"/>
                <w:szCs w:val="26"/>
                <w:lang w:eastAsia="vi-VN"/>
              </w:rPr>
              <w:lastRenderedPageBreak/>
              <w:t>(Thiết bị tạo hình sản phẩm tiền kim loại từ dải phôi kim loại được đột dập thành phôi tiền xu (xu trống), sau đó xu trống được gia công và dập ở trạng thái nguội dưới tác dụng của áp lực tạo hình ảnh trên tiền xu theo khu</w:t>
            </w:r>
            <w:r>
              <w:rPr>
                <w:i/>
                <w:color w:val="000000"/>
                <w:sz w:val="26"/>
                <w:szCs w:val="26"/>
                <w:lang w:eastAsia="vi-VN"/>
              </w:rPr>
              <w:t>ô</w:t>
            </w:r>
            <w:r w:rsidRPr="003A1CF6">
              <w:rPr>
                <w:i/>
                <w:color w:val="000000"/>
                <w:sz w:val="26"/>
                <w:szCs w:val="26"/>
                <w:lang w:eastAsia="vi-VN"/>
              </w:rPr>
              <w:t>n mẫu thiết kế)</w:t>
            </w:r>
          </w:p>
        </w:tc>
        <w:tc>
          <w:tcPr>
            <w:tcW w:w="1054"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lastRenderedPageBreak/>
              <w:t>84</w:t>
            </w:r>
          </w:p>
        </w:tc>
        <w:tc>
          <w:tcPr>
            <w:tcW w:w="850"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62</w:t>
            </w:r>
          </w:p>
        </w:tc>
        <w:tc>
          <w:tcPr>
            <w:tcW w:w="709"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49</w:t>
            </w:r>
          </w:p>
        </w:tc>
        <w:tc>
          <w:tcPr>
            <w:tcW w:w="709" w:type="dxa"/>
            <w:shd w:val="clear" w:color="auto" w:fill="auto"/>
            <w:noWrap/>
            <w:vAlign w:val="center"/>
          </w:tcPr>
          <w:p w:rsidR="008B155B" w:rsidRPr="00A00C37" w:rsidRDefault="008B155B" w:rsidP="00D7753C">
            <w:pPr>
              <w:jc w:val="center"/>
              <w:rPr>
                <w:color w:val="000000"/>
                <w:sz w:val="26"/>
                <w:szCs w:val="26"/>
                <w:lang w:eastAsia="vi-VN"/>
              </w:rPr>
            </w:pPr>
            <w:r w:rsidRPr="00A00C37">
              <w:rPr>
                <w:color w:val="000000"/>
                <w:sz w:val="26"/>
                <w:szCs w:val="26"/>
                <w:lang w:eastAsia="vi-VN"/>
              </w:rPr>
              <w:t>00</w:t>
            </w:r>
          </w:p>
        </w:tc>
      </w:tr>
    </w:tbl>
    <w:p w:rsidR="008721DF" w:rsidRPr="006271D4" w:rsidRDefault="008721DF" w:rsidP="008721DF">
      <w:pPr>
        <w:tabs>
          <w:tab w:val="left" w:pos="720"/>
        </w:tabs>
        <w:jc w:val="both"/>
        <w:rPr>
          <w:sz w:val="28"/>
          <w:szCs w:val="28"/>
          <w:lang w:val="vi-VN"/>
        </w:rPr>
      </w:pPr>
    </w:p>
    <w:p w:rsidR="008721DF" w:rsidRDefault="008721DF" w:rsidP="008721DF">
      <w:pPr>
        <w:tabs>
          <w:tab w:val="left" w:pos="7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76ED7" w:rsidRDefault="002C78AF" w:rsidP="008721DF">
      <w:pPr>
        <w:tabs>
          <w:tab w:val="left" w:pos="7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2C78AF" w:rsidRDefault="002C78AF" w:rsidP="008721DF">
      <w:pPr>
        <w:tabs>
          <w:tab w:val="left" w:pos="720"/>
        </w:tabs>
        <w:jc w:val="both"/>
        <w:rPr>
          <w:sz w:val="28"/>
          <w:szCs w:val="28"/>
        </w:rPr>
      </w:pPr>
    </w:p>
    <w:p w:rsidR="00C64670" w:rsidRDefault="00C64670" w:rsidP="008721DF">
      <w:pPr>
        <w:tabs>
          <w:tab w:val="left" w:pos="720"/>
        </w:tabs>
        <w:jc w:val="both"/>
        <w:rPr>
          <w:sz w:val="28"/>
          <w:szCs w:val="28"/>
        </w:rPr>
      </w:pPr>
    </w:p>
    <w:p w:rsidR="00C64670" w:rsidRDefault="00C64670" w:rsidP="008721DF">
      <w:pPr>
        <w:tabs>
          <w:tab w:val="left" w:pos="720"/>
        </w:tabs>
        <w:jc w:val="both"/>
        <w:rPr>
          <w:sz w:val="28"/>
          <w:szCs w:val="28"/>
        </w:rPr>
      </w:pPr>
    </w:p>
    <w:p w:rsidR="00376ED7" w:rsidRDefault="00376ED7" w:rsidP="00376ED7">
      <w:pPr>
        <w:jc w:val="right"/>
        <w:rPr>
          <w:b/>
          <w:sz w:val="26"/>
          <w:szCs w:val="26"/>
        </w:rPr>
      </w:pPr>
    </w:p>
    <w:p w:rsidR="00376ED7" w:rsidRPr="008D6B8C" w:rsidRDefault="00376ED7" w:rsidP="00376ED7">
      <w:pPr>
        <w:jc w:val="right"/>
        <w:rPr>
          <w:b/>
          <w:i/>
          <w:sz w:val="26"/>
          <w:szCs w:val="26"/>
        </w:rPr>
      </w:pPr>
      <w:r w:rsidRPr="008D6B8C">
        <w:rPr>
          <w:b/>
          <w:i/>
          <w:sz w:val="26"/>
          <w:szCs w:val="26"/>
        </w:rPr>
        <w:lastRenderedPageBreak/>
        <w:t>Mẫu số 01</w:t>
      </w:r>
      <w:r>
        <w:rPr>
          <w:rStyle w:val="FootnoteReference"/>
          <w:b/>
          <w:i/>
          <w:sz w:val="26"/>
          <w:szCs w:val="26"/>
        </w:rPr>
        <w:footnoteReference w:id="8"/>
      </w:r>
    </w:p>
    <w:tbl>
      <w:tblPr>
        <w:tblW w:w="0" w:type="auto"/>
        <w:tblInd w:w="108" w:type="dxa"/>
        <w:tblCellMar>
          <w:left w:w="0" w:type="dxa"/>
          <w:right w:w="0" w:type="dxa"/>
        </w:tblCellMar>
        <w:tblLook w:val="04A0" w:firstRow="1" w:lastRow="0" w:firstColumn="1" w:lastColumn="0" w:noHBand="0" w:noVBand="1"/>
      </w:tblPr>
      <w:tblGrid>
        <w:gridCol w:w="3113"/>
        <w:gridCol w:w="5851"/>
      </w:tblGrid>
      <w:tr w:rsidR="00376ED7" w:rsidRPr="008D6B8C" w:rsidTr="00372FDE">
        <w:trPr>
          <w:trHeight w:val="1150"/>
        </w:trPr>
        <w:tc>
          <w:tcPr>
            <w:tcW w:w="3224" w:type="dxa"/>
            <w:shd w:val="clear" w:color="auto" w:fill="auto"/>
            <w:tcMar>
              <w:top w:w="0" w:type="dxa"/>
              <w:left w:w="108" w:type="dxa"/>
              <w:bottom w:w="0" w:type="dxa"/>
              <w:right w:w="108" w:type="dxa"/>
            </w:tcMar>
          </w:tcPr>
          <w:p w:rsidR="00376ED7" w:rsidRPr="008D6B8C" w:rsidRDefault="00376ED7" w:rsidP="00372FDE">
            <w:pPr>
              <w:jc w:val="center"/>
              <w:rPr>
                <w:b/>
                <w:bCs/>
                <w:sz w:val="26"/>
                <w:szCs w:val="26"/>
              </w:rPr>
            </w:pPr>
            <w:r w:rsidRPr="008D6B8C">
              <w:rPr>
                <w:b/>
                <w:bCs/>
                <w:sz w:val="26"/>
                <w:szCs w:val="26"/>
              </w:rPr>
              <w:t>CƠ SỞ IN ĐÚC TIỀN</w:t>
            </w:r>
          </w:p>
          <w:p w:rsidR="00376ED7" w:rsidRPr="008D6B8C" w:rsidRDefault="00385EDB" w:rsidP="00372FDE">
            <w:pPr>
              <w:jc w:val="center"/>
              <w:rPr>
                <w:sz w:val="26"/>
                <w:szCs w:val="26"/>
              </w:rPr>
            </w:pP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287020</wp:posOffset>
                      </wp:positionH>
                      <wp:positionV relativeFrom="paragraph">
                        <wp:posOffset>31115</wp:posOffset>
                      </wp:positionV>
                      <wp:extent cx="1297305" cy="0"/>
                      <wp:effectExtent l="6985" t="8890" r="10160" b="1016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216C"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2.45pt" to="124.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wI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s9Ca3rgCIiq1taE4elKvZqPpd4eUrlqi9jxSfDsbyMtCRvIuJWycgQt2/RfNIIYcvI59&#10;OjW2C5DQAXSKcpzvcvCTRxQOs9H8aZxOMKI3X0KKW6Kxzn/mukPBKLEE0hGYHDfOByKkuIWEe5Re&#10;Cymj2lKhvsTzyWgSE5yWggVnCHN2v6ukRUcS5iV+sSrwPIZZfVAsgrWcsNXV9kTIiw2XSxXwoBSg&#10;c7UuA/Fjns5Xs9UsH+Sj6WqQp3U9+LSu8sF0nT1N6nFdVXX2M1DL8qIVjHEV2N2GM8v/TvzrM7mM&#10;1X08721I3qPHfgHZ2z+SjloG+S6DsNPsvLU3jWEeY/D17YSBf9yD/fjCl78AAAD//wMAUEsDBBQA&#10;BgAIAAAAIQDmjstH2wAAAAYBAAAPAAAAZHJzL2Rvd25yZXYueG1sTI7BTsMwEETvSPyDtUhcqtYh&#10;tBUNcSoE5MalBcR1Gy9JRLxOY7cNfD0LFziNRjOaefl6dJ060hBazwauZgko4srblmsDL8/l9AZU&#10;iMgWO89k4JMCrIvzsxwz60+8oeM21kpGOGRooImxz7QOVUMOw8z3xJK9+8FhFDvU2g54knHX6TRJ&#10;ltphy/LQYE/3DVUf24MzEMpX2pdfk2qSvF3XntL9w9MjGnN5Md7dgoo0xr8y/OALOhTCtPMHtkF1&#10;BuaLVJqiK1ASp/PVAtTu1+si1//xi28AAAD//wMAUEsBAi0AFAAGAAgAAAAhALaDOJL+AAAA4QEA&#10;ABMAAAAAAAAAAAAAAAAAAAAAAFtDb250ZW50X1R5cGVzXS54bWxQSwECLQAUAAYACAAAACEAOP0h&#10;/9YAAACUAQAACwAAAAAAAAAAAAAAAAAvAQAAX3JlbHMvLnJlbHNQSwECLQAUAAYACAAAACEAHKW8&#10;CBQCAAApBAAADgAAAAAAAAAAAAAAAAAuAgAAZHJzL2Uyb0RvYy54bWxQSwECLQAUAAYACAAAACEA&#10;5o7LR9sAAAAGAQAADwAAAAAAAAAAAAAAAABuBAAAZHJzL2Rvd25yZXYueG1sUEsFBgAAAAAEAAQA&#10;8wAAAHYFAAAAAA==&#10;"/>
                  </w:pict>
                </mc:Fallback>
              </mc:AlternateContent>
            </w:r>
          </w:p>
          <w:p w:rsidR="00376ED7" w:rsidRPr="008D6B8C" w:rsidRDefault="00376ED7" w:rsidP="00372FDE">
            <w:pPr>
              <w:jc w:val="center"/>
              <w:rPr>
                <w:sz w:val="26"/>
                <w:szCs w:val="26"/>
              </w:rPr>
            </w:pPr>
            <w:r w:rsidRPr="008D6B8C">
              <w:rPr>
                <w:sz w:val="26"/>
                <w:szCs w:val="26"/>
              </w:rPr>
              <w:t>Số: …………</w:t>
            </w:r>
          </w:p>
          <w:p w:rsidR="00376ED7" w:rsidRPr="008D6B8C" w:rsidRDefault="00376ED7" w:rsidP="00372FDE">
            <w:pPr>
              <w:rPr>
                <w:sz w:val="26"/>
                <w:szCs w:val="26"/>
              </w:rPr>
            </w:pPr>
          </w:p>
        </w:tc>
        <w:tc>
          <w:tcPr>
            <w:tcW w:w="6136" w:type="dxa"/>
            <w:shd w:val="clear" w:color="auto" w:fill="auto"/>
            <w:tcMar>
              <w:top w:w="0" w:type="dxa"/>
              <w:left w:w="108" w:type="dxa"/>
              <w:bottom w:w="0" w:type="dxa"/>
              <w:right w:w="108" w:type="dxa"/>
            </w:tcMar>
          </w:tcPr>
          <w:p w:rsidR="00376ED7" w:rsidRPr="008D6B8C" w:rsidRDefault="00385EDB" w:rsidP="00372FDE">
            <w:pPr>
              <w:jc w:val="center"/>
              <w:rPr>
                <w:sz w:val="26"/>
                <w:szCs w:val="26"/>
              </w:rPr>
            </w:pP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1139825</wp:posOffset>
                      </wp:positionH>
                      <wp:positionV relativeFrom="paragraph">
                        <wp:posOffset>426085</wp:posOffset>
                      </wp:positionV>
                      <wp:extent cx="1297305" cy="0"/>
                      <wp:effectExtent l="7620" t="13970" r="9525" b="508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8CB99"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wy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89CawbgSImq1saE4elSv5lnT7w4pXXdE7Xik+HYykJeFjORdStg4Axdshy+aQQzZex37&#10;dGxtHyChA+gY5Tjd5OBHjygcZvn88SGdYESvvoSU10Rjnf/MdY+CUWEJpCMwOTw7H4iQ8hoS7lF6&#10;LaSMakuFhgrPJ/kkJjgtBQvOEObsbltLiw4kzEv8YlXguQ+zeq9YBOs4YauL7YmQZxsulyrgQSlA&#10;52KdB+LHPJ2vZqtZMSry6WpUpE0z+rSui9F0nT1OmoemrpvsZ6CWFWUnGOMqsLsOZ1b8nfiXZ3Ie&#10;q9t43tqQvEeP/QKy138kHbUM8p0HYavZaWOvGsM8xuDL2wkDf78H+/6FL38BAAD//wMAUEsDBBQA&#10;BgAIAAAAIQAQ+SUC3QAAAAkBAAAPAAAAZHJzL2Rvd25yZXYueG1sTI/BTsMwEETvSPyDtUhcKuq0&#10;EW0JcSoE5MalBcR1Gy9JRLxOY7cNfD2LOMBxZp9mZ/L16Dp1pCG0ng3Mpgko4srblmsDL8/l1QpU&#10;iMgWO89k4JMCrIvzsxwz60+8oeM21kpCOGRooImxz7QOVUMOw9T3xHJ794PDKHKotR3wJOGu0/Mk&#10;WWiHLcuHBnu6b6j62B6cgVC+0r78mlST5C2tPc33D0+PaMzlxXh3CyrSGP9g+Kkv1aGQTjt/YBtU&#10;J3p5cy2ogcVyBkqAdJXKlt2voYtc/19QfAMAAP//AwBQSwECLQAUAAYACAAAACEAtoM4kv4AAADh&#10;AQAAEwAAAAAAAAAAAAAAAAAAAAAAW0NvbnRlbnRfVHlwZXNdLnhtbFBLAQItABQABgAIAAAAIQA4&#10;/SH/1gAAAJQBAAALAAAAAAAAAAAAAAAAAC8BAABfcmVscy8ucmVsc1BLAQItABQABgAIAAAAIQB3&#10;mvwyFAIAACkEAAAOAAAAAAAAAAAAAAAAAC4CAABkcnMvZTJvRG9jLnhtbFBLAQItABQABgAIAAAA&#10;IQAQ+SUC3QAAAAkBAAAPAAAAAAAAAAAAAAAAAG4EAABkcnMvZG93bnJldi54bWxQSwUGAAAAAAQA&#10;BADzAAAAeAUAAAAA&#10;"/>
                  </w:pict>
                </mc:Fallback>
              </mc:AlternateContent>
            </w:r>
            <w:r w:rsidR="00376ED7" w:rsidRPr="008D6B8C">
              <w:rPr>
                <w:b/>
                <w:bCs/>
                <w:sz w:val="26"/>
                <w:szCs w:val="26"/>
                <w:lang w:val="vi-VN"/>
              </w:rPr>
              <w:t>CỘNG HÒA XÃ HỘI CHỦ NGHĨA VIỆT NAM</w:t>
            </w:r>
            <w:r w:rsidR="00376ED7" w:rsidRPr="008D6B8C">
              <w:rPr>
                <w:b/>
                <w:bCs/>
                <w:sz w:val="26"/>
                <w:szCs w:val="26"/>
                <w:lang w:val="vi-VN"/>
              </w:rPr>
              <w:br/>
              <w:t xml:space="preserve">Độc lập - Tự do - Hạnh phúc </w:t>
            </w:r>
            <w:r w:rsidR="00376ED7" w:rsidRPr="008D6B8C">
              <w:rPr>
                <w:b/>
                <w:bCs/>
                <w:sz w:val="26"/>
                <w:szCs w:val="26"/>
                <w:lang w:val="vi-VN"/>
              </w:rPr>
              <w:br/>
            </w:r>
          </w:p>
          <w:p w:rsidR="00376ED7" w:rsidRPr="008D6B8C" w:rsidRDefault="00376ED7" w:rsidP="00372FDE">
            <w:pPr>
              <w:jc w:val="right"/>
              <w:rPr>
                <w:sz w:val="26"/>
                <w:szCs w:val="26"/>
              </w:rPr>
            </w:pPr>
            <w:r w:rsidRPr="008D6B8C">
              <w:rPr>
                <w:i/>
                <w:iCs/>
                <w:sz w:val="26"/>
                <w:szCs w:val="26"/>
              </w:rPr>
              <w:t>(Tỉnh, thành phố)…</w:t>
            </w:r>
            <w:r w:rsidRPr="008D6B8C">
              <w:rPr>
                <w:i/>
                <w:iCs/>
                <w:sz w:val="26"/>
                <w:szCs w:val="26"/>
                <w:lang w:val="vi-VN"/>
              </w:rPr>
              <w:t>. ngày ……. tháng ……. năm ..</w:t>
            </w:r>
          </w:p>
        </w:tc>
      </w:tr>
    </w:tbl>
    <w:p w:rsidR="00376ED7" w:rsidRPr="008D6B8C" w:rsidRDefault="00376ED7" w:rsidP="00376ED7">
      <w:pPr>
        <w:rPr>
          <w:sz w:val="26"/>
          <w:szCs w:val="26"/>
        </w:rPr>
      </w:pPr>
    </w:p>
    <w:p w:rsidR="00376ED7" w:rsidRPr="008D6B8C" w:rsidRDefault="00376ED7" w:rsidP="00376ED7">
      <w:pPr>
        <w:jc w:val="center"/>
        <w:rPr>
          <w:b/>
          <w:sz w:val="26"/>
          <w:szCs w:val="26"/>
        </w:rPr>
      </w:pPr>
      <w:r w:rsidRPr="008D6B8C">
        <w:rPr>
          <w:b/>
          <w:sz w:val="26"/>
          <w:szCs w:val="26"/>
        </w:rPr>
        <w:t>BÁO CÁO TÌNH HÌNH NHẬP KHẨU</w:t>
      </w:r>
    </w:p>
    <w:p w:rsidR="00376ED7" w:rsidRPr="008D6B8C" w:rsidRDefault="00376ED7" w:rsidP="00376ED7">
      <w:pPr>
        <w:jc w:val="center"/>
        <w:rPr>
          <w:b/>
          <w:sz w:val="26"/>
          <w:szCs w:val="26"/>
        </w:rPr>
      </w:pPr>
      <w:r w:rsidRPr="008D6B8C">
        <w:rPr>
          <w:b/>
          <w:sz w:val="26"/>
          <w:szCs w:val="26"/>
        </w:rPr>
        <w:t>VÀ SỬ DỤNG HÀNG HÓA CỦA CƠ SỞ IN ĐÚC TIỀN</w:t>
      </w:r>
    </w:p>
    <w:p w:rsidR="00376ED7" w:rsidRPr="008D6B8C" w:rsidRDefault="00376ED7" w:rsidP="00376ED7">
      <w:pPr>
        <w:jc w:val="center"/>
        <w:rPr>
          <w:b/>
          <w:sz w:val="26"/>
          <w:szCs w:val="26"/>
        </w:rPr>
      </w:pPr>
      <w:r w:rsidRPr="008D6B8C">
        <w:rPr>
          <w:b/>
          <w:sz w:val="26"/>
          <w:szCs w:val="26"/>
        </w:rPr>
        <w:t>(Kỳ báo cáo: Quý    /   )</w:t>
      </w:r>
    </w:p>
    <w:p w:rsidR="00376ED7" w:rsidRPr="008D6B8C" w:rsidRDefault="00376ED7" w:rsidP="00376ED7">
      <w:pPr>
        <w:jc w:val="center"/>
        <w:rPr>
          <w:b/>
          <w:sz w:val="26"/>
          <w:szCs w:val="26"/>
        </w:rPr>
      </w:pPr>
    </w:p>
    <w:p w:rsidR="00376ED7" w:rsidRPr="007213C7" w:rsidRDefault="00376ED7" w:rsidP="00376ED7">
      <w:pPr>
        <w:rPr>
          <w:sz w:val="26"/>
          <w:szCs w:val="26"/>
        </w:rPr>
      </w:pPr>
      <w:r w:rsidRPr="008D6B8C">
        <w:rPr>
          <w:b/>
          <w:sz w:val="26"/>
          <w:szCs w:val="26"/>
        </w:rPr>
        <w:tab/>
      </w:r>
      <w:r w:rsidRPr="008D6B8C">
        <w:rPr>
          <w:b/>
          <w:sz w:val="26"/>
          <w:szCs w:val="26"/>
        </w:rPr>
        <w:tab/>
      </w:r>
      <w:r w:rsidRPr="008D6B8C">
        <w:rPr>
          <w:b/>
          <w:sz w:val="26"/>
          <w:szCs w:val="26"/>
        </w:rPr>
        <w:tab/>
      </w:r>
      <w:r w:rsidRPr="00E1248B">
        <w:rPr>
          <w:sz w:val="26"/>
          <w:szCs w:val="26"/>
        </w:rPr>
        <w:t>Kính gửi: Ngân hàng Nhà nướcViệt Nam</w:t>
      </w:r>
    </w:p>
    <w:p w:rsidR="00376ED7" w:rsidRPr="007213C7" w:rsidRDefault="00376ED7" w:rsidP="00376ED7">
      <w:pPr>
        <w:rPr>
          <w:sz w:val="26"/>
          <w:szCs w:val="26"/>
        </w:rPr>
      </w:pPr>
      <w:r w:rsidRPr="00E1248B">
        <w:rPr>
          <w:sz w:val="26"/>
          <w:szCs w:val="26"/>
        </w:rPr>
        <w:tab/>
      </w:r>
      <w:r w:rsidRPr="00E1248B">
        <w:rPr>
          <w:sz w:val="26"/>
          <w:szCs w:val="26"/>
        </w:rPr>
        <w:tab/>
      </w:r>
      <w:r w:rsidRPr="00E1248B">
        <w:rPr>
          <w:sz w:val="26"/>
          <w:szCs w:val="26"/>
        </w:rPr>
        <w:tab/>
      </w:r>
      <w:r w:rsidRPr="00E1248B">
        <w:rPr>
          <w:sz w:val="26"/>
          <w:szCs w:val="26"/>
        </w:rPr>
        <w:tab/>
      </w:r>
      <w:r>
        <w:rPr>
          <w:sz w:val="26"/>
          <w:szCs w:val="26"/>
        </w:rPr>
        <w:t xml:space="preserve">     </w:t>
      </w:r>
      <w:r w:rsidRPr="00E1248B">
        <w:rPr>
          <w:sz w:val="26"/>
          <w:szCs w:val="26"/>
        </w:rPr>
        <w:t>(Cục Phát hành và kho quỹ)</w:t>
      </w:r>
    </w:p>
    <w:p w:rsidR="00376ED7" w:rsidRPr="008D6B8C" w:rsidRDefault="00376ED7" w:rsidP="00376ED7">
      <w:pPr>
        <w:rPr>
          <w:sz w:val="26"/>
          <w:szCs w:val="26"/>
        </w:rPr>
      </w:pPr>
    </w:p>
    <w:p w:rsidR="00376ED7" w:rsidRDefault="00376ED7" w:rsidP="00376ED7">
      <w:pPr>
        <w:spacing w:line="360" w:lineRule="auto"/>
        <w:jc w:val="both"/>
        <w:rPr>
          <w:b/>
          <w:sz w:val="26"/>
          <w:szCs w:val="26"/>
        </w:rPr>
      </w:pPr>
      <w:r w:rsidRPr="008D6B8C">
        <w:rPr>
          <w:b/>
          <w:sz w:val="26"/>
          <w:szCs w:val="26"/>
        </w:rPr>
        <w:t>Phần I. Tình hình nhập khẩu và sử dụng hàng hóa</w:t>
      </w:r>
    </w:p>
    <w:p w:rsidR="00376ED7" w:rsidRDefault="00376ED7" w:rsidP="00376ED7">
      <w:pPr>
        <w:spacing w:line="360" w:lineRule="auto"/>
        <w:jc w:val="both"/>
        <w:rPr>
          <w:sz w:val="26"/>
          <w:szCs w:val="26"/>
        </w:rPr>
      </w:pPr>
      <w:r w:rsidRPr="008D6B8C">
        <w:rPr>
          <w:sz w:val="26"/>
          <w:szCs w:val="26"/>
        </w:rPr>
        <w:t>1. Số lượng từng chủng loại hàng hóa, nguyên vật liệu đã nhập khẩu trong kỳ báo cáo</w:t>
      </w:r>
    </w:p>
    <w:p w:rsidR="00376ED7" w:rsidRDefault="00376ED7" w:rsidP="00376ED7">
      <w:pPr>
        <w:spacing w:line="360" w:lineRule="auto"/>
        <w:jc w:val="both"/>
        <w:rPr>
          <w:sz w:val="26"/>
          <w:szCs w:val="26"/>
        </w:rPr>
      </w:pPr>
      <w:r w:rsidRPr="008D6B8C">
        <w:rPr>
          <w:sz w:val="26"/>
          <w:szCs w:val="26"/>
        </w:rPr>
        <w:t>2. Số lượng từng chủng loại hàng hóa, nguyên vật liệu đã sử dụng trong kỳ báo cáo</w:t>
      </w:r>
    </w:p>
    <w:p w:rsidR="00376ED7" w:rsidRDefault="00376ED7" w:rsidP="00376ED7">
      <w:pPr>
        <w:spacing w:line="360" w:lineRule="auto"/>
        <w:jc w:val="both"/>
        <w:rPr>
          <w:sz w:val="26"/>
          <w:szCs w:val="26"/>
        </w:rPr>
      </w:pPr>
      <w:r w:rsidRPr="008D6B8C">
        <w:rPr>
          <w:sz w:val="26"/>
          <w:szCs w:val="26"/>
        </w:rPr>
        <w:t>3. Tình hình sử dụng giấy xác nhận của Ngân hàng nhà nước cấp cho cơ sở in đúc tiền để làm thủ tục nhập khẩu hàng hóa, nguyên vật liệu</w:t>
      </w:r>
    </w:p>
    <w:p w:rsidR="00376ED7" w:rsidRDefault="00376ED7" w:rsidP="00376ED7">
      <w:pPr>
        <w:spacing w:line="360" w:lineRule="auto"/>
        <w:jc w:val="both"/>
        <w:rPr>
          <w:b/>
          <w:sz w:val="26"/>
          <w:szCs w:val="26"/>
        </w:rPr>
      </w:pPr>
      <w:r w:rsidRPr="008D6B8C">
        <w:rPr>
          <w:b/>
          <w:sz w:val="26"/>
          <w:szCs w:val="26"/>
        </w:rPr>
        <w:t>Phần II. Đề xuất, kiến nghị (nếu có)</w:t>
      </w:r>
    </w:p>
    <w:p w:rsidR="00376ED7" w:rsidRPr="008D6B8C" w:rsidRDefault="00376ED7" w:rsidP="00376ED7">
      <w:pPr>
        <w:rPr>
          <w:sz w:val="26"/>
          <w:szCs w:val="26"/>
        </w:rPr>
      </w:pPr>
    </w:p>
    <w:tbl>
      <w:tblPr>
        <w:tblW w:w="9490" w:type="dxa"/>
        <w:tblInd w:w="-81" w:type="dxa"/>
        <w:tblLook w:val="04A0" w:firstRow="1" w:lastRow="0" w:firstColumn="1" w:lastColumn="0" w:noHBand="0" w:noVBand="1"/>
      </w:tblPr>
      <w:tblGrid>
        <w:gridCol w:w="4887"/>
        <w:gridCol w:w="4603"/>
      </w:tblGrid>
      <w:tr w:rsidR="00376ED7" w:rsidRPr="008D6B8C" w:rsidTr="00E0529D">
        <w:trPr>
          <w:trHeight w:val="995"/>
        </w:trPr>
        <w:tc>
          <w:tcPr>
            <w:tcW w:w="4845" w:type="dxa"/>
            <w:shd w:val="clear" w:color="auto" w:fill="auto"/>
          </w:tcPr>
          <w:p w:rsidR="00376ED7" w:rsidRPr="00372FDE" w:rsidRDefault="00385EDB" w:rsidP="00372FDE">
            <w:pPr>
              <w:jc w:val="both"/>
              <w:rPr>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-22860</wp:posOffset>
                      </wp:positionH>
                      <wp:positionV relativeFrom="paragraph">
                        <wp:posOffset>581025</wp:posOffset>
                      </wp:positionV>
                      <wp:extent cx="5943600" cy="9525"/>
                      <wp:effectExtent l="5715" t="11430" r="13335" b="762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3466E1" id="_x0000_t32" coordsize="21600,21600" o:spt="32" o:oned="t" path="m,l21600,21600e" filled="f">
                      <v:path arrowok="t" fillok="f" o:connecttype="none"/>
                      <o:lock v:ext="edit" shapetype="t"/>
                    </v:shapetype>
                    <v:shape id="AutoShape 20" o:spid="_x0000_s1026" type="#_x0000_t32" style="position:absolute;margin-left:-1.8pt;margin-top:45.75pt;width:468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Z9JgIAAEkEAAAOAAAAZHJzL2Uyb0RvYy54bWysVE1v2zAMvQ/YfxB8T22nTpYYdYrCTnbp&#10;1gDtdlckORYmi4KkxgmG/fdRipu122UY5oNMmeTj16Nvbo+9IgdhnQRdJflVlhChGXCp91Xy5Wkz&#10;WSTEeao5VaBFlZyES25X79/dDKYUU+hAcWEJgmhXDqZKOu9NmaaOdaKn7gqM0KhswfbU49XuU27p&#10;gOi9SqdZNk8HsNxYYMI5/Nqclckq4retYP6hbZ3wRFUJ5ubjaeO5C2e6uqHl3lLTSTamQf8hi55K&#10;jUEvUA31lDxb+QdUL5kFB62/YtCn0LaSiVgDVpNnv1Xz2FEjYi3YHGcubXL/D5Z9PmwtkRxnlxBN&#10;exzR3bOHGJlMY38G40o0q/XWhgrZUT+ae2DfHNFQd1TvRbR+Ohl0zkNH0zcu4eIMRtkNn4CjDcUA&#10;sVnH1vakVdJ8DY4BHBtCjnE6p8t0xNEThh9ny+J6nuEQGeqWs+kshqJlQAm+xjr/UUBPglAlzlsq&#10;952vQWukAdhzBHq4dz7k+MshOGvYSKUiG5QmwxggaBwoyYMyXux+VytLDjTwKT5jFm/MLDxrHsE6&#10;Qfl6lD2V6ixjcKUDHtaG6YzSmTDfl9lyvVgvikkxna8nRdY0k7tNXUzmm/zDrLlu6rrJf4Ru5UXZ&#10;Sc6FDtm9kDcv/o4c4xqdaXeh76UN6Vv02C9M9uUdk45jDpMN2+bKHfDT1r6MH/kajcfdCgvx+o7y&#10;6z/A6icAAAD//wMAUEsDBBQABgAIAAAAIQBQlE6O3gAAAAgBAAAPAAAAZHJzL2Rvd25yZXYueG1s&#10;TI/NTsMwEITvSH0Ha5G4tU5/SNsQp0JIIA4oEi3ct/GShMbrELtJ+va4J7jNakYz36a70TSip87V&#10;lhXMZxEI4sLqmksFH4fn6QaE88gaG8uk4EIOdtnkJsVE24Hfqd/7UoQSdgkqqLxvEyldUZFBN7Mt&#10;cfC+bGfQh7Mrpe5wCOWmkYsoiqXBmsNChS09VVSc9mej4IfXl8+V7Dffee7jl9e3kikflLq7HR8f&#10;QHga/V8YrvgBHbLAdLRn1k40CqbLOCQVbOf3IIK/XS5WII5XEYHMUvn/gewXAAD//wMAUEsBAi0A&#10;FAAGAAgAAAAhALaDOJL+AAAA4QEAABMAAAAAAAAAAAAAAAAAAAAAAFtDb250ZW50X1R5cGVzXS54&#10;bWxQSwECLQAUAAYACAAAACEAOP0h/9YAAACUAQAACwAAAAAAAAAAAAAAAAAvAQAAX3JlbHMvLnJl&#10;bHNQSwECLQAUAAYACAAAACEAc48GfSYCAABJBAAADgAAAAAAAAAAAAAAAAAuAgAAZHJzL2Uyb0Rv&#10;Yy54bWxQSwECLQAUAAYACAAAACEAUJROjt4AAAAIAQAADwAAAAAAAAAAAAAAAACABAAAZHJzL2Rv&#10;d25yZXYueG1sUEsFBgAAAAAEAAQA8wAAAIsFAAAAAA==&#10;"/>
                  </w:pict>
                </mc:Fallback>
              </mc:AlternateContent>
            </w:r>
          </w:p>
        </w:tc>
        <w:tc>
          <w:tcPr>
            <w:tcW w:w="4564" w:type="dxa"/>
            <w:shd w:val="clear" w:color="auto" w:fill="auto"/>
          </w:tcPr>
          <w:p w:rsidR="00376ED7" w:rsidRPr="00372FDE" w:rsidRDefault="00376ED7" w:rsidP="00372FDE">
            <w:pPr>
              <w:jc w:val="center"/>
              <w:rPr>
                <w:sz w:val="26"/>
                <w:szCs w:val="26"/>
              </w:rPr>
            </w:pPr>
            <w:r w:rsidRPr="00372FDE">
              <w:rPr>
                <w:b/>
                <w:bCs/>
                <w:sz w:val="26"/>
                <w:szCs w:val="26"/>
              </w:rPr>
              <w:t>NGƯỜI ĐẠI DIỆNHỢP PHÁP</w:t>
            </w:r>
            <w:r w:rsidRPr="00372FDE">
              <w:rPr>
                <w:b/>
                <w:bCs/>
                <w:sz w:val="26"/>
                <w:szCs w:val="26"/>
              </w:rPr>
              <w:br/>
            </w:r>
            <w:r w:rsidRPr="00372FDE">
              <w:rPr>
                <w:i/>
                <w:iCs/>
                <w:sz w:val="26"/>
                <w:szCs w:val="26"/>
                <w:shd w:val="clear" w:color="auto" w:fill="FFFFFF"/>
                <w:lang w:val="vi-VN"/>
              </w:rPr>
              <w:t>(K</w:t>
            </w:r>
            <w:r w:rsidRPr="00372FDE">
              <w:rPr>
                <w:i/>
                <w:iCs/>
                <w:sz w:val="26"/>
                <w:szCs w:val="26"/>
                <w:shd w:val="clear" w:color="auto" w:fill="FFFFFF"/>
              </w:rPr>
              <w:t>ý</w:t>
            </w:r>
            <w:r w:rsidRPr="00372FDE">
              <w:rPr>
                <w:i/>
                <w:iCs/>
                <w:sz w:val="26"/>
                <w:szCs w:val="26"/>
                <w:shd w:val="clear" w:color="auto" w:fill="FFFFFF"/>
                <w:lang w:val="vi-VN"/>
              </w:rPr>
              <w:t>, ghi rõ họ tên, chức vụ và đóng dấu)</w:t>
            </w:r>
          </w:p>
        </w:tc>
      </w:tr>
    </w:tbl>
    <w:p w:rsidR="00F4220B" w:rsidRPr="00F4220B" w:rsidRDefault="00F4220B" w:rsidP="00F4220B">
      <w:pPr>
        <w:rPr>
          <w:vanish/>
        </w:rPr>
      </w:pPr>
    </w:p>
    <w:tbl>
      <w:tblPr>
        <w:tblpPr w:leftFromText="180" w:rightFromText="180" w:vertAnchor="text" w:horzAnchor="margin" w:tblpY="252"/>
        <w:tblW w:w="9369" w:type="dxa"/>
        <w:tblLook w:val="0000" w:firstRow="0" w:lastRow="0" w:firstColumn="0" w:lastColumn="0" w:noHBand="0" w:noVBand="0"/>
      </w:tblPr>
      <w:tblGrid>
        <w:gridCol w:w="4611"/>
        <w:gridCol w:w="4758"/>
      </w:tblGrid>
      <w:tr w:rsidR="00E0529D" w:rsidTr="00E0529D">
        <w:trPr>
          <w:trHeight w:val="3394"/>
        </w:trPr>
        <w:tc>
          <w:tcPr>
            <w:tcW w:w="4611" w:type="dxa"/>
          </w:tcPr>
          <w:p w:rsidR="00E0529D" w:rsidRDefault="00E0529D" w:rsidP="00E0529D">
            <w:pPr>
              <w:jc w:val="center"/>
              <w:rPr>
                <w:b/>
                <w:sz w:val="28"/>
                <w:szCs w:val="28"/>
              </w:rPr>
            </w:pPr>
            <w:r>
              <w:rPr>
                <w:b/>
                <w:sz w:val="28"/>
                <w:szCs w:val="28"/>
              </w:rPr>
              <w:t>NGÂN HÀNG NHÀ NƯỚC</w:t>
            </w:r>
          </w:p>
          <w:p w:rsidR="00E0529D" w:rsidRDefault="00E0529D" w:rsidP="00E0529D">
            <w:pPr>
              <w:jc w:val="center"/>
              <w:rPr>
                <w:b/>
                <w:sz w:val="28"/>
                <w:szCs w:val="28"/>
                <w:u w:val="single"/>
              </w:rPr>
            </w:pPr>
            <w:r w:rsidRPr="00BE4EF9">
              <w:rPr>
                <w:b/>
                <w:sz w:val="28"/>
                <w:szCs w:val="28"/>
                <w:u w:val="single"/>
              </w:rPr>
              <w:t>VIỆT NAM</w:t>
            </w:r>
          </w:p>
          <w:p w:rsidR="00E0529D" w:rsidRDefault="00E0529D" w:rsidP="00E0529D">
            <w:pPr>
              <w:jc w:val="center"/>
              <w:rPr>
                <w:b/>
                <w:sz w:val="28"/>
                <w:szCs w:val="28"/>
                <w:u w:val="single"/>
              </w:rPr>
            </w:pPr>
          </w:p>
          <w:p w:rsidR="00E0529D" w:rsidRDefault="00E0529D" w:rsidP="00E0529D">
            <w:pPr>
              <w:rPr>
                <w:sz w:val="28"/>
                <w:szCs w:val="28"/>
              </w:rPr>
            </w:pPr>
            <w:r>
              <w:rPr>
                <w:sz w:val="28"/>
                <w:szCs w:val="28"/>
              </w:rPr>
              <w:t xml:space="preserve">      </w:t>
            </w:r>
            <w:r w:rsidRPr="00BE4EF9">
              <w:rPr>
                <w:sz w:val="28"/>
                <w:szCs w:val="28"/>
              </w:rPr>
              <w:t xml:space="preserve">Số:    </w:t>
            </w:r>
            <w:r>
              <w:rPr>
                <w:sz w:val="28"/>
                <w:szCs w:val="28"/>
              </w:rPr>
              <w:t xml:space="preserve"> </w:t>
            </w:r>
            <w:r w:rsidR="00A523D4">
              <w:rPr>
                <w:sz w:val="28"/>
                <w:szCs w:val="28"/>
              </w:rPr>
              <w:t>17</w:t>
            </w:r>
            <w:r w:rsidR="008B155B">
              <w:rPr>
                <w:sz w:val="28"/>
                <w:szCs w:val="28"/>
              </w:rPr>
              <w:t xml:space="preserve">   </w:t>
            </w:r>
            <w:r w:rsidRPr="00BE4EF9">
              <w:rPr>
                <w:sz w:val="28"/>
                <w:szCs w:val="28"/>
              </w:rPr>
              <w:t xml:space="preserve">  </w:t>
            </w:r>
            <w:r w:rsidR="00CA46C3">
              <w:rPr>
                <w:sz w:val="28"/>
                <w:szCs w:val="28"/>
              </w:rPr>
              <w:t xml:space="preserve"> </w:t>
            </w:r>
            <w:r>
              <w:rPr>
                <w:sz w:val="28"/>
                <w:szCs w:val="28"/>
              </w:rPr>
              <w:t xml:space="preserve"> </w:t>
            </w:r>
            <w:r w:rsidRPr="00BE4EF9">
              <w:rPr>
                <w:sz w:val="28"/>
                <w:szCs w:val="28"/>
              </w:rPr>
              <w:t>/VBHN-NHNN</w:t>
            </w:r>
          </w:p>
          <w:p w:rsidR="00E0529D" w:rsidRDefault="00E0529D" w:rsidP="00E0529D">
            <w:pPr>
              <w:rPr>
                <w:sz w:val="28"/>
                <w:szCs w:val="28"/>
              </w:rPr>
            </w:pPr>
          </w:p>
          <w:p w:rsidR="00E0529D" w:rsidRDefault="00E0529D" w:rsidP="00E0529D">
            <w:pPr>
              <w:rPr>
                <w:sz w:val="28"/>
                <w:szCs w:val="28"/>
              </w:rPr>
            </w:pPr>
          </w:p>
          <w:p w:rsidR="00E0529D" w:rsidRDefault="00E0529D" w:rsidP="00E0529D">
            <w:pPr>
              <w:pBdr>
                <w:bar w:val="single" w:sz="4" w:color="auto"/>
              </w:pBdr>
              <w:jc w:val="both"/>
              <w:rPr>
                <w:b/>
                <w:i/>
              </w:rPr>
            </w:pPr>
          </w:p>
          <w:p w:rsidR="00E0529D" w:rsidRPr="00B321FD" w:rsidRDefault="00E0529D" w:rsidP="00E0529D">
            <w:pPr>
              <w:pBdr>
                <w:bar w:val="single" w:sz="4" w:color="auto"/>
              </w:pBdr>
              <w:jc w:val="both"/>
              <w:rPr>
                <w:i/>
                <w:sz w:val="28"/>
                <w:szCs w:val="28"/>
              </w:rPr>
            </w:pPr>
            <w:r w:rsidRPr="00B321FD">
              <w:rPr>
                <w:b/>
                <w:i/>
              </w:rPr>
              <w:t>Nơi nhận</w:t>
            </w:r>
            <w:r>
              <w:rPr>
                <w:b/>
                <w:i/>
              </w:rPr>
              <w:t xml:space="preserve">:                                                                   </w:t>
            </w:r>
          </w:p>
          <w:p w:rsidR="00E0529D" w:rsidRDefault="00E0529D" w:rsidP="00E0529D">
            <w:pPr>
              <w:pBdr>
                <w:bar w:val="single" w:sz="4" w:color="auto"/>
              </w:pBdr>
              <w:jc w:val="both"/>
            </w:pPr>
            <w:r>
              <w:t xml:space="preserve">- </w:t>
            </w:r>
            <w:r w:rsidRPr="00B321FD">
              <w:t>Ban lãnh đạo NHNN;</w:t>
            </w:r>
          </w:p>
          <w:p w:rsidR="00E0529D" w:rsidRDefault="00E0529D" w:rsidP="00E0529D">
            <w:pPr>
              <w:pBdr>
                <w:bar w:val="single" w:sz="4" w:color="auto"/>
              </w:pBdr>
              <w:jc w:val="both"/>
            </w:pPr>
            <w:r>
              <w:t xml:space="preserve">- </w:t>
            </w:r>
            <w:r w:rsidRPr="00B321FD">
              <w:t>Văn phòng Chính phủ ( để đăng Công báo);</w:t>
            </w:r>
          </w:p>
          <w:p w:rsidR="00E0529D" w:rsidRDefault="00E0529D" w:rsidP="00E0529D">
            <w:pPr>
              <w:pBdr>
                <w:bar w:val="single" w:sz="4" w:color="auto"/>
              </w:pBdr>
              <w:jc w:val="both"/>
            </w:pPr>
            <w:r>
              <w:t xml:space="preserve">- </w:t>
            </w:r>
            <w:r w:rsidRPr="00B321FD">
              <w:t>Cổng thông tin điện tử NHNN;</w:t>
            </w:r>
          </w:p>
          <w:p w:rsidR="00E0529D" w:rsidRPr="00BE4EF9" w:rsidRDefault="00E0529D" w:rsidP="00E0529D">
            <w:pPr>
              <w:rPr>
                <w:sz w:val="28"/>
                <w:szCs w:val="28"/>
              </w:rPr>
            </w:pPr>
            <w:r>
              <w:t xml:space="preserve">- </w:t>
            </w:r>
            <w:r w:rsidR="008B155B">
              <w:t>Lưu VP, PC3.</w:t>
            </w:r>
          </w:p>
        </w:tc>
        <w:tc>
          <w:tcPr>
            <w:tcW w:w="4758" w:type="dxa"/>
          </w:tcPr>
          <w:p w:rsidR="00E0529D" w:rsidRDefault="00E0529D" w:rsidP="00E0529D">
            <w:pPr>
              <w:jc w:val="center"/>
              <w:rPr>
                <w:b/>
                <w:sz w:val="28"/>
                <w:szCs w:val="28"/>
              </w:rPr>
            </w:pPr>
            <w:r>
              <w:rPr>
                <w:b/>
                <w:sz w:val="28"/>
                <w:szCs w:val="28"/>
              </w:rPr>
              <w:t>XÁC THỰC VĂN BẢN HỢP NHẤT</w:t>
            </w:r>
          </w:p>
          <w:p w:rsidR="00E0529D" w:rsidRPr="008B155B" w:rsidRDefault="00E0529D" w:rsidP="00C64670">
            <w:pPr>
              <w:spacing w:before="240" w:after="120"/>
              <w:jc w:val="center"/>
              <w:rPr>
                <w:i/>
                <w:sz w:val="28"/>
                <w:szCs w:val="28"/>
              </w:rPr>
            </w:pPr>
            <w:r w:rsidRPr="00BE4EF9">
              <w:rPr>
                <w:i/>
                <w:sz w:val="28"/>
                <w:szCs w:val="28"/>
              </w:rPr>
              <w:t>Hà Nội, ngày</w:t>
            </w:r>
            <w:r w:rsidR="00A523D4">
              <w:rPr>
                <w:i/>
                <w:sz w:val="28"/>
                <w:szCs w:val="28"/>
              </w:rPr>
              <w:t xml:space="preserve"> 12</w:t>
            </w:r>
            <w:r w:rsidRPr="00BE4EF9">
              <w:rPr>
                <w:i/>
                <w:sz w:val="28"/>
                <w:szCs w:val="28"/>
              </w:rPr>
              <w:t xml:space="preserve"> </w:t>
            </w:r>
            <w:r>
              <w:rPr>
                <w:i/>
                <w:sz w:val="28"/>
                <w:szCs w:val="28"/>
              </w:rPr>
              <w:t xml:space="preserve"> </w:t>
            </w:r>
            <w:r w:rsidR="008B155B">
              <w:rPr>
                <w:i/>
                <w:sz w:val="28"/>
                <w:szCs w:val="28"/>
              </w:rPr>
              <w:t xml:space="preserve"> </w:t>
            </w:r>
            <w:r>
              <w:rPr>
                <w:i/>
                <w:sz w:val="28"/>
                <w:szCs w:val="28"/>
              </w:rPr>
              <w:t xml:space="preserve">   </w:t>
            </w:r>
            <w:r w:rsidRPr="00BE4EF9">
              <w:rPr>
                <w:i/>
                <w:sz w:val="28"/>
                <w:szCs w:val="28"/>
              </w:rPr>
              <w:t xml:space="preserve"> tháng </w:t>
            </w:r>
            <w:r w:rsidR="00A523D4">
              <w:rPr>
                <w:i/>
                <w:sz w:val="28"/>
                <w:szCs w:val="28"/>
              </w:rPr>
              <w:t>7</w:t>
            </w:r>
            <w:r w:rsidR="008B155B">
              <w:rPr>
                <w:i/>
                <w:sz w:val="28"/>
                <w:szCs w:val="28"/>
              </w:rPr>
              <w:t xml:space="preserve">   năm 2023</w:t>
            </w:r>
          </w:p>
          <w:p w:rsidR="00E0529D" w:rsidRPr="00BE4EF9" w:rsidRDefault="00E0529D" w:rsidP="00E0529D">
            <w:pPr>
              <w:jc w:val="center"/>
              <w:rPr>
                <w:b/>
                <w:sz w:val="28"/>
                <w:szCs w:val="28"/>
              </w:rPr>
            </w:pPr>
            <w:r w:rsidRPr="00BE4EF9">
              <w:rPr>
                <w:b/>
                <w:sz w:val="28"/>
                <w:szCs w:val="28"/>
              </w:rPr>
              <w:t>KT.THỐNG ĐỐC</w:t>
            </w:r>
          </w:p>
          <w:p w:rsidR="00E0529D" w:rsidRPr="00BE4EF9" w:rsidRDefault="00E0529D" w:rsidP="00E0529D">
            <w:pPr>
              <w:jc w:val="center"/>
              <w:rPr>
                <w:b/>
                <w:sz w:val="28"/>
                <w:szCs w:val="28"/>
              </w:rPr>
            </w:pPr>
            <w:r w:rsidRPr="00BE4EF9">
              <w:rPr>
                <w:b/>
                <w:sz w:val="28"/>
                <w:szCs w:val="28"/>
              </w:rPr>
              <w:t>PHÓ THỐNG ĐỐC</w:t>
            </w:r>
          </w:p>
          <w:p w:rsidR="00E0529D" w:rsidRPr="00BE4EF9" w:rsidRDefault="00E0529D" w:rsidP="00E0529D">
            <w:pPr>
              <w:jc w:val="center"/>
              <w:rPr>
                <w:b/>
                <w:sz w:val="28"/>
                <w:szCs w:val="28"/>
              </w:rPr>
            </w:pPr>
          </w:p>
          <w:p w:rsidR="00E0529D" w:rsidRPr="00BE4EF9" w:rsidRDefault="00E0529D" w:rsidP="00E0529D">
            <w:pPr>
              <w:jc w:val="center"/>
              <w:rPr>
                <w:b/>
                <w:sz w:val="28"/>
                <w:szCs w:val="28"/>
              </w:rPr>
            </w:pPr>
          </w:p>
          <w:p w:rsidR="00E0529D" w:rsidRDefault="00E0529D" w:rsidP="00E0529D">
            <w:pPr>
              <w:jc w:val="center"/>
              <w:rPr>
                <w:b/>
                <w:sz w:val="28"/>
                <w:szCs w:val="28"/>
              </w:rPr>
            </w:pPr>
          </w:p>
          <w:p w:rsidR="00C64670" w:rsidRPr="00A523D4" w:rsidRDefault="00A523D4" w:rsidP="00E0529D">
            <w:pPr>
              <w:jc w:val="center"/>
              <w:rPr>
                <w:b/>
                <w:i/>
                <w:sz w:val="28"/>
                <w:szCs w:val="28"/>
              </w:rPr>
            </w:pPr>
            <w:bookmarkStart w:id="3" w:name="_GoBack"/>
            <w:r w:rsidRPr="00A523D4">
              <w:rPr>
                <w:b/>
                <w:i/>
                <w:sz w:val="28"/>
                <w:szCs w:val="28"/>
              </w:rPr>
              <w:t>(Đã ký)</w:t>
            </w:r>
          </w:p>
          <w:bookmarkEnd w:id="3"/>
          <w:p w:rsidR="00C64670" w:rsidRDefault="00C64670" w:rsidP="00E0529D">
            <w:pPr>
              <w:jc w:val="center"/>
              <w:rPr>
                <w:b/>
                <w:sz w:val="28"/>
                <w:szCs w:val="28"/>
              </w:rPr>
            </w:pPr>
          </w:p>
          <w:p w:rsidR="00C64670" w:rsidRDefault="00C64670" w:rsidP="00E0529D">
            <w:pPr>
              <w:jc w:val="center"/>
              <w:rPr>
                <w:b/>
                <w:sz w:val="28"/>
                <w:szCs w:val="28"/>
              </w:rPr>
            </w:pPr>
          </w:p>
          <w:p w:rsidR="00E0529D" w:rsidRPr="00BE4EF9" w:rsidRDefault="00E0529D" w:rsidP="00E0529D">
            <w:pPr>
              <w:jc w:val="center"/>
              <w:rPr>
                <w:b/>
                <w:sz w:val="28"/>
                <w:szCs w:val="28"/>
              </w:rPr>
            </w:pPr>
          </w:p>
          <w:p w:rsidR="00E0529D" w:rsidRPr="00BE4EF9" w:rsidRDefault="00E0529D" w:rsidP="00C64670">
            <w:pPr>
              <w:spacing w:before="120"/>
              <w:jc w:val="center"/>
              <w:rPr>
                <w:b/>
                <w:sz w:val="28"/>
                <w:szCs w:val="28"/>
              </w:rPr>
            </w:pPr>
            <w:r w:rsidRPr="00BE4EF9">
              <w:rPr>
                <w:b/>
                <w:sz w:val="28"/>
                <w:szCs w:val="28"/>
              </w:rPr>
              <w:t>Đoàn Thái Sơn</w:t>
            </w:r>
          </w:p>
          <w:p w:rsidR="00E0529D" w:rsidRDefault="00E0529D" w:rsidP="00E0529D">
            <w:pPr>
              <w:jc w:val="center"/>
              <w:rPr>
                <w:b/>
                <w:sz w:val="28"/>
                <w:szCs w:val="28"/>
              </w:rPr>
            </w:pPr>
          </w:p>
        </w:tc>
      </w:tr>
    </w:tbl>
    <w:p w:rsidR="00DA0393" w:rsidRPr="00E54449" w:rsidRDefault="00DA0393" w:rsidP="00CA46C3">
      <w:pPr>
        <w:spacing w:afterLines="80" w:after="192"/>
        <w:jc w:val="both"/>
        <w:rPr>
          <w:sz w:val="28"/>
          <w:szCs w:val="28"/>
        </w:rPr>
      </w:pPr>
    </w:p>
    <w:p w:rsidR="008721DF" w:rsidRDefault="008721DF"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B9323C" w:rsidRDefault="00B9323C" w:rsidP="00137599">
      <w:pPr>
        <w:tabs>
          <w:tab w:val="left" w:pos="720"/>
        </w:tabs>
        <w:jc w:val="center"/>
        <w:rPr>
          <w:b/>
          <w:bCs/>
          <w:color w:val="000000"/>
          <w:sz w:val="26"/>
          <w:szCs w:val="26"/>
          <w:lang w:eastAsia="vi-VN"/>
        </w:rPr>
      </w:pPr>
    </w:p>
    <w:p w:rsidR="00AA5AFC" w:rsidRDefault="002B6CFC" w:rsidP="00AA5AFC">
      <w:pPr>
        <w:tabs>
          <w:tab w:val="left" w:pos="720"/>
        </w:tabs>
        <w:jc w:val="both"/>
        <w:rPr>
          <w:sz w:val="28"/>
          <w:szCs w:val="28"/>
        </w:rPr>
      </w:pPr>
      <w:r>
        <w:rPr>
          <w:sz w:val="28"/>
          <w:szCs w:val="28"/>
        </w:rPr>
        <w:t xml:space="preserve"> </w:t>
      </w:r>
      <w:r w:rsidR="00AA5AFC">
        <w:rPr>
          <w:sz w:val="28"/>
          <w:szCs w:val="28"/>
        </w:rPr>
        <w:tab/>
      </w:r>
      <w:r w:rsidR="00AA5AFC">
        <w:rPr>
          <w:sz w:val="28"/>
          <w:szCs w:val="28"/>
        </w:rPr>
        <w:tab/>
      </w:r>
      <w:r w:rsidR="00AA5AFC">
        <w:rPr>
          <w:sz w:val="28"/>
          <w:szCs w:val="28"/>
        </w:rPr>
        <w:tab/>
      </w:r>
      <w:r w:rsidR="00AA5AFC">
        <w:rPr>
          <w:sz w:val="28"/>
          <w:szCs w:val="28"/>
        </w:rPr>
        <w:tab/>
      </w:r>
      <w:r w:rsidR="00AA5AFC">
        <w:rPr>
          <w:sz w:val="28"/>
          <w:szCs w:val="28"/>
        </w:rPr>
        <w:tab/>
      </w:r>
      <w:r w:rsidR="00AA5AFC">
        <w:rPr>
          <w:sz w:val="28"/>
          <w:szCs w:val="28"/>
        </w:rPr>
        <w:tab/>
      </w:r>
      <w:r w:rsidR="00AA5AFC">
        <w:rPr>
          <w:sz w:val="28"/>
          <w:szCs w:val="28"/>
        </w:rPr>
        <w:tab/>
      </w:r>
      <w:r w:rsidR="00AA5AFC">
        <w:rPr>
          <w:sz w:val="28"/>
          <w:szCs w:val="28"/>
        </w:rPr>
        <w:tab/>
      </w:r>
    </w:p>
    <w:p w:rsidR="00805281" w:rsidRPr="00AA5AFC" w:rsidRDefault="00AA5AFC" w:rsidP="00AA5AFC">
      <w:pPr>
        <w:tabs>
          <w:tab w:val="left" w:pos="720"/>
        </w:tabs>
        <w:jc w:val="both"/>
        <w:rPr>
          <w:b/>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805281" w:rsidRPr="00AA5AFC" w:rsidSect="00E770C3">
      <w:headerReference w:type="default" r:id="rId7"/>
      <w:footerReference w:type="even" r:id="rId8"/>
      <w:footerReference w:type="default" r:id="rId9"/>
      <w:pgSz w:w="11907" w:h="16840" w:code="9"/>
      <w:pgMar w:top="1134" w:right="1134" w:bottom="63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16" w:rsidRDefault="000B6C16">
      <w:r>
        <w:separator/>
      </w:r>
    </w:p>
  </w:endnote>
  <w:endnote w:type="continuationSeparator" w:id="0">
    <w:p w:rsidR="000B6C16" w:rsidRDefault="000B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altName w:val=".VnCentury Schoolbook"/>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BA" w:rsidRDefault="001E08BA" w:rsidP="00A24AEB">
    <w:pPr>
      <w:pStyle w:val="Footer"/>
      <w:framePr w:wrap="around" w:vAnchor="text" w:hAnchor="margin" w:xAlign="right" w:y="1"/>
      <w:rPr>
        <w:rStyle w:val="PageNumber"/>
      </w:rPr>
    </w:pPr>
    <w:r>
      <w:rPr>
        <w:rStyle w:val="PageNumber"/>
      </w:rPr>
      <w:fldChar w:fldCharType="begin"/>
    </w:r>
    <w:r w:rsidR="003C1ABA">
      <w:rPr>
        <w:rStyle w:val="PageNumber"/>
      </w:rPr>
      <w:instrText xml:space="preserve">PAGE  </w:instrText>
    </w:r>
    <w:r>
      <w:rPr>
        <w:rStyle w:val="PageNumber"/>
      </w:rPr>
      <w:fldChar w:fldCharType="end"/>
    </w:r>
  </w:p>
  <w:p w:rsidR="003C1ABA" w:rsidRDefault="003C1ABA" w:rsidP="003C1A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BA" w:rsidRDefault="003C1ABA" w:rsidP="00814DD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16" w:rsidRDefault="000B6C16">
      <w:r>
        <w:separator/>
      </w:r>
    </w:p>
  </w:footnote>
  <w:footnote w:type="continuationSeparator" w:id="0">
    <w:p w:rsidR="000B6C16" w:rsidRDefault="000B6C16">
      <w:r>
        <w:continuationSeparator/>
      </w:r>
    </w:p>
  </w:footnote>
  <w:footnote w:id="1">
    <w:p w:rsidR="008721DF" w:rsidRDefault="00CF76C4" w:rsidP="00CF76C4">
      <w:pPr>
        <w:spacing w:before="60"/>
      </w:pPr>
      <w:r>
        <w:tab/>
      </w:r>
      <w:r w:rsidR="008721DF" w:rsidRPr="008721DF">
        <w:rPr>
          <w:rStyle w:val="FootnoteReference"/>
        </w:rPr>
        <w:footnoteRef/>
      </w:r>
      <w:r w:rsidR="008721DF" w:rsidRPr="008721DF">
        <w:t xml:space="preserve"> Thông tư số</w:t>
      </w:r>
      <w:r w:rsidR="00876F0A">
        <w:t xml:space="preserve"> </w:t>
      </w:r>
      <w:r w:rsidR="008721DF" w:rsidRPr="008721DF">
        <w:t>14/2019/TT-NHNN sửa đổi, bổ sung một số điều tại các Thông tư có quy định về chế độ báo cáo định kỳ của Ngân hàng N</w:t>
      </w:r>
      <w:r w:rsidR="008721DF">
        <w:t>hà nước có căn cứ ban hành như sau:</w:t>
      </w:r>
    </w:p>
    <w:p w:rsidR="008721DF" w:rsidRPr="002C78AF" w:rsidRDefault="00A143D3" w:rsidP="00CF76C4">
      <w:pPr>
        <w:pStyle w:val="NormalWeb"/>
        <w:shd w:val="clear" w:color="auto" w:fill="FFFFFF"/>
        <w:spacing w:before="60" w:line="240" w:lineRule="auto"/>
        <w:ind w:firstLine="720"/>
        <w:jc w:val="both"/>
        <w:textAlignment w:val="baseline"/>
        <w:rPr>
          <w:i/>
          <w:lang w:val="nl-NL"/>
        </w:rPr>
      </w:pPr>
      <w:bookmarkStart w:id="0" w:name="chuong_1"/>
      <w:r w:rsidRPr="002C78AF">
        <w:rPr>
          <w:i/>
          <w:iCs/>
          <w:lang w:val="nl-NL"/>
        </w:rPr>
        <w:t>“</w:t>
      </w:r>
      <w:r w:rsidR="008721DF" w:rsidRPr="002C78AF">
        <w:rPr>
          <w:i/>
          <w:iCs/>
          <w:lang w:val="nl-NL"/>
        </w:rPr>
        <w:t>Căn cứ Luật Ngân hàng Nhà nước Việt Nam ngày 16 tháng 6 năm 2010;</w:t>
      </w:r>
    </w:p>
    <w:p w:rsidR="008721DF" w:rsidRPr="002C78AF" w:rsidRDefault="008721DF" w:rsidP="00CF76C4">
      <w:pPr>
        <w:pStyle w:val="NormalWeb"/>
        <w:shd w:val="clear" w:color="auto" w:fill="FFFFFF"/>
        <w:spacing w:before="60" w:line="240" w:lineRule="auto"/>
        <w:ind w:firstLine="720"/>
        <w:jc w:val="both"/>
        <w:textAlignment w:val="baseline"/>
        <w:rPr>
          <w:i/>
          <w:lang w:val="nl-NL"/>
        </w:rPr>
      </w:pPr>
      <w:r w:rsidRPr="002C78AF">
        <w:rPr>
          <w:i/>
          <w:iCs/>
          <w:lang w:val="nl-NL"/>
        </w:rPr>
        <w:t>Căn cứ Luật Các tổ chức tín dụng ngày 16 tháng 6 năm 2010;</w:t>
      </w:r>
    </w:p>
    <w:p w:rsidR="008721DF" w:rsidRPr="002C78AF" w:rsidRDefault="008721DF" w:rsidP="00CF76C4">
      <w:pPr>
        <w:pStyle w:val="NormalWeb"/>
        <w:shd w:val="clear" w:color="auto" w:fill="FFFFFF"/>
        <w:spacing w:before="60" w:line="240" w:lineRule="auto"/>
        <w:ind w:firstLine="720"/>
        <w:jc w:val="both"/>
        <w:textAlignment w:val="baseline"/>
        <w:rPr>
          <w:i/>
          <w:iCs/>
          <w:lang w:val="nl-NL"/>
        </w:rPr>
      </w:pPr>
      <w:r w:rsidRPr="002C78AF">
        <w:rPr>
          <w:i/>
          <w:iCs/>
          <w:lang w:val="nl-NL"/>
        </w:rPr>
        <w:t>Căn cứ Luật sửa đổi, bổ sung một số điều của Luật Các tổ chức tín dụng ngày 20 tháng 11 năm 2017;</w:t>
      </w:r>
    </w:p>
    <w:p w:rsidR="008721DF" w:rsidRPr="002C78AF" w:rsidRDefault="008721DF" w:rsidP="00CF76C4">
      <w:pPr>
        <w:pStyle w:val="NormalWeb"/>
        <w:shd w:val="clear" w:color="auto" w:fill="FFFFFF"/>
        <w:spacing w:before="60" w:line="240" w:lineRule="auto"/>
        <w:ind w:firstLine="720"/>
        <w:jc w:val="both"/>
        <w:textAlignment w:val="baseline"/>
        <w:rPr>
          <w:i/>
          <w:lang w:val="nl-NL"/>
        </w:rPr>
      </w:pPr>
      <w:r w:rsidRPr="002C78AF">
        <w:rPr>
          <w:i/>
          <w:lang w:val="nl-NL"/>
        </w:rPr>
        <w:t>Căn cứ Nghị định số 09/2019/NĐ-CP ngày 24 tháng 01 năm 2019 của Chính phủ quy định về chế độ báo cáo của cơ quan hành chính nhà nước;</w:t>
      </w:r>
    </w:p>
    <w:p w:rsidR="008721DF" w:rsidRPr="002C78AF" w:rsidRDefault="008721DF" w:rsidP="00CF76C4">
      <w:pPr>
        <w:spacing w:before="60"/>
        <w:ind w:firstLine="720"/>
        <w:jc w:val="both"/>
        <w:rPr>
          <w:i/>
          <w:lang w:val="nl-NL"/>
        </w:rPr>
      </w:pPr>
      <w:r w:rsidRPr="002C78AF">
        <w:rPr>
          <w:i/>
          <w:lang w:val="nl-NL"/>
        </w:rPr>
        <w:t>Căn cứ Nghị định số 16/2017/NĐ-CP ngày 17 tháng 02 năm 2017 của Chính phủ quy định chức năng, nhiệm vụ, quyền hạn và cơ cấu tổ chức của Ngân hàng Nhà nước Việt Nam;</w:t>
      </w:r>
    </w:p>
    <w:p w:rsidR="008721DF" w:rsidRPr="002C78AF" w:rsidRDefault="008721DF" w:rsidP="00CF76C4">
      <w:pPr>
        <w:spacing w:before="60"/>
        <w:ind w:right="-29" w:firstLine="748"/>
        <w:jc w:val="both"/>
        <w:rPr>
          <w:i/>
          <w:lang w:val="nl-NL"/>
        </w:rPr>
      </w:pPr>
      <w:r w:rsidRPr="002C78AF">
        <w:rPr>
          <w:i/>
          <w:lang w:val="nl-NL"/>
        </w:rPr>
        <w:t>Theo đề nghị của Chánh Văn phòng Ngân hàng Nhà nước Việt Nam;</w:t>
      </w:r>
    </w:p>
    <w:p w:rsidR="008721DF" w:rsidRPr="002C78AF" w:rsidRDefault="008721DF" w:rsidP="00CF76C4">
      <w:pPr>
        <w:spacing w:before="60"/>
        <w:ind w:right="-29" w:firstLine="748"/>
        <w:jc w:val="both"/>
        <w:rPr>
          <w:b/>
          <w:lang w:val="vi-VN"/>
        </w:rPr>
      </w:pPr>
      <w:r w:rsidRPr="002C78AF">
        <w:rPr>
          <w:i/>
          <w:lang w:val="nl-NL"/>
        </w:rPr>
        <w:t xml:space="preserve">Thống đốc Ngân hàng Nhà nước Việt Nam ban hành Thông tư sửa đổi, bổ sung một số điều </w:t>
      </w:r>
      <w:r w:rsidRPr="002C78AF">
        <w:rPr>
          <w:i/>
          <w:lang w:val="vi-VN"/>
        </w:rPr>
        <w:t>tại</w:t>
      </w:r>
      <w:r w:rsidRPr="002C78AF">
        <w:rPr>
          <w:i/>
          <w:lang w:val="nl-NL"/>
        </w:rPr>
        <w:t xml:space="preserve"> các Thông tư có quy định về chế độ báo cáo định kỳ của Ngân hàng Nhà nước.</w:t>
      </w:r>
      <w:bookmarkEnd w:id="0"/>
      <w:r w:rsidR="00A143D3" w:rsidRPr="002C78AF">
        <w:rPr>
          <w:i/>
          <w:lang w:val="nl-NL"/>
        </w:rPr>
        <w:t>”</w:t>
      </w:r>
    </w:p>
  </w:footnote>
  <w:footnote w:id="2">
    <w:p w:rsidR="008B155B" w:rsidRPr="002C78AF" w:rsidRDefault="002C78AF" w:rsidP="00CF76C4">
      <w:pPr>
        <w:pStyle w:val="FootnoteText"/>
        <w:spacing w:before="60"/>
        <w:jc w:val="both"/>
        <w:rPr>
          <w:sz w:val="24"/>
          <w:szCs w:val="24"/>
          <w:lang w:val="da-DK"/>
        </w:rPr>
      </w:pPr>
      <w:r w:rsidRPr="002C78AF">
        <w:rPr>
          <w:sz w:val="24"/>
          <w:szCs w:val="24"/>
        </w:rPr>
        <w:tab/>
      </w:r>
      <w:r w:rsidR="008B155B" w:rsidRPr="002C78AF">
        <w:rPr>
          <w:rStyle w:val="FootnoteReference"/>
          <w:sz w:val="24"/>
          <w:szCs w:val="24"/>
        </w:rPr>
        <w:footnoteRef/>
      </w:r>
      <w:r w:rsidR="008B155B" w:rsidRPr="002C78AF">
        <w:rPr>
          <w:sz w:val="24"/>
          <w:szCs w:val="24"/>
        </w:rPr>
        <w:t xml:space="preserve"> </w:t>
      </w:r>
      <w:r w:rsidRPr="002C78AF">
        <w:rPr>
          <w:sz w:val="24"/>
          <w:szCs w:val="24"/>
        </w:rPr>
        <w:t xml:space="preserve">Thông tư số 07/2023/TT-NHNN sửa đổi, bổ sung một số điều của </w:t>
      </w:r>
      <w:r w:rsidRPr="002C78AF">
        <w:rPr>
          <w:sz w:val="24"/>
          <w:szCs w:val="24"/>
          <w:lang w:val="da-DK"/>
        </w:rPr>
        <w:t>Thông tư số 38/2018/TT-NHNN ngày 25 tháng 12 năm 2018 của Thống đốc Ngân hàng Nhà nước Việt Nam quy định việc nhập khẩu hàng hóa phục vụ hoạt động in, đúc tiền của Ngân hàng Nhà nước Việt Nam có căn cứ ban hành như sau:</w:t>
      </w:r>
    </w:p>
    <w:p w:rsidR="002C78AF" w:rsidRPr="002C78AF" w:rsidRDefault="002C78AF" w:rsidP="00CF76C4">
      <w:pPr>
        <w:pStyle w:val="ListParagraph"/>
        <w:spacing w:before="60"/>
        <w:ind w:left="0" w:firstLine="851"/>
        <w:contextualSpacing w:val="0"/>
        <w:jc w:val="both"/>
        <w:rPr>
          <w:i/>
        </w:rPr>
      </w:pPr>
      <w:r w:rsidRPr="002C78AF">
        <w:rPr>
          <w:i/>
          <w:iCs/>
          <w:lang w:val="nl-NL"/>
        </w:rPr>
        <w:t>“</w:t>
      </w:r>
      <w:r w:rsidRPr="002C78AF">
        <w:rPr>
          <w:i/>
        </w:rPr>
        <w:t>Căn cứ Luật Ngân hàng Nhà nước Việt Nam ngày 16 tháng 6 năm  2010;</w:t>
      </w:r>
    </w:p>
    <w:p w:rsidR="002C78AF" w:rsidRPr="002C78AF" w:rsidRDefault="002C78AF" w:rsidP="00CF76C4">
      <w:pPr>
        <w:spacing w:before="60"/>
        <w:ind w:firstLine="851"/>
        <w:jc w:val="both"/>
        <w:rPr>
          <w:i/>
        </w:rPr>
      </w:pPr>
      <w:r w:rsidRPr="002C78AF">
        <w:rPr>
          <w:i/>
        </w:rPr>
        <w:t>Căn cứ Nghị định số 69/2018/NĐ-CP ngày 15 tháng 5 năm 2018 của Chính phủ quy định chi tiết một số điều của Luật Quản lý ngoại thương;</w:t>
      </w:r>
    </w:p>
    <w:p w:rsidR="002C78AF" w:rsidRPr="002C78AF" w:rsidRDefault="002C78AF" w:rsidP="00CF76C4">
      <w:pPr>
        <w:spacing w:before="60"/>
        <w:ind w:firstLine="851"/>
        <w:jc w:val="both"/>
        <w:rPr>
          <w:i/>
        </w:rPr>
      </w:pPr>
      <w:r w:rsidRPr="002C78AF">
        <w:rPr>
          <w:i/>
        </w:rPr>
        <w:t xml:space="preserve">Căn cứ Nghị định số 134/2016/NĐ-CP ngày 01 tháng 9 năm 2016 của Chính phủ quy định chi tiết một số điều và biện pháp thi hành Luật Thuế xuất khẩu, thuế nhập khẩu;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 </w:t>
      </w:r>
    </w:p>
    <w:p w:rsidR="002C78AF" w:rsidRPr="002C78AF" w:rsidRDefault="002C78AF" w:rsidP="00CF76C4">
      <w:pPr>
        <w:pStyle w:val="BodyText2"/>
        <w:spacing w:before="60" w:after="0" w:line="240" w:lineRule="auto"/>
        <w:ind w:firstLine="851"/>
        <w:jc w:val="both"/>
        <w:rPr>
          <w:i/>
        </w:rPr>
      </w:pPr>
      <w:r w:rsidRPr="002C78AF">
        <w:rPr>
          <w:i/>
        </w:rPr>
        <w:t>Căn cứ Nghị định số 102/2022/NĐ-CP ngày 12 tháng 12 năm 2022 của Chính phủ quy định chức năng, nhiệm vụ, quyền hạn và cơ cấu tổ chức của Ngân hàng Nhà nước Việt Nam;</w:t>
      </w:r>
    </w:p>
    <w:p w:rsidR="002C78AF" w:rsidRPr="002C78AF" w:rsidRDefault="002C78AF" w:rsidP="00CF76C4">
      <w:pPr>
        <w:pStyle w:val="ListParagraph"/>
        <w:spacing w:before="60"/>
        <w:ind w:left="0" w:firstLine="851"/>
        <w:contextualSpacing w:val="0"/>
        <w:jc w:val="both"/>
        <w:rPr>
          <w:i/>
        </w:rPr>
      </w:pPr>
      <w:r w:rsidRPr="002C78AF">
        <w:rPr>
          <w:i/>
        </w:rPr>
        <w:t>Theo đề nghị của Cục trưởng Cục Phát hành và Kho quỹ;</w:t>
      </w:r>
    </w:p>
    <w:p w:rsidR="002C78AF" w:rsidRPr="002C78AF" w:rsidRDefault="002C78AF" w:rsidP="00CF76C4">
      <w:pPr>
        <w:pStyle w:val="ListParagraph"/>
        <w:spacing w:before="60"/>
        <w:ind w:left="0" w:firstLine="851"/>
        <w:contextualSpacing w:val="0"/>
        <w:jc w:val="both"/>
        <w:rPr>
          <w:i/>
          <w:sz w:val="28"/>
          <w:szCs w:val="28"/>
        </w:rPr>
      </w:pPr>
      <w:r w:rsidRPr="002C78AF">
        <w:rPr>
          <w:i/>
        </w:rPr>
        <w:t xml:space="preserve">Thống đốc Ngân hàng Nhà nước Việt Nam ban hành Thông tư sửa đổi, bổ sung một số điều của </w:t>
      </w:r>
      <w:r w:rsidRPr="002C78AF">
        <w:rPr>
          <w:i/>
          <w:lang w:val="da-DK"/>
        </w:rPr>
        <w:t>Thông tư số 38/2018/TT-NHNN ngày 25 tháng 12 năm 2018</w:t>
      </w:r>
      <w:r w:rsidRPr="002C78AF">
        <w:rPr>
          <w:lang w:val="da-DK"/>
        </w:rPr>
        <w:t xml:space="preserve"> </w:t>
      </w:r>
      <w:r w:rsidRPr="002C78AF">
        <w:rPr>
          <w:i/>
          <w:lang w:val="da-DK"/>
        </w:rPr>
        <w:t>của Thống đốc Ngân hàng Nhà nước Việt Nam quy định việc nhập khẩu hàng hóa phục vụ hoạt động in, đúc tiền của Ngân hàng Nhà nước Việt Nam (sau đây gọi tắt là Thông tư số 38/2018/TT-NHNN).</w:t>
      </w:r>
      <w:r w:rsidRPr="002C78AF">
        <w:rPr>
          <w:lang w:val="da-DK"/>
        </w:rPr>
        <w:t>”</w:t>
      </w:r>
    </w:p>
  </w:footnote>
  <w:footnote w:id="3">
    <w:p w:rsidR="002C78AF" w:rsidRPr="002C78AF" w:rsidRDefault="002C78AF" w:rsidP="00CF76C4">
      <w:pPr>
        <w:spacing w:before="60"/>
        <w:jc w:val="both"/>
      </w:pPr>
      <w:r w:rsidRPr="002C78AF">
        <w:tab/>
      </w:r>
      <w:r w:rsidRPr="002C78AF">
        <w:rPr>
          <w:rStyle w:val="FootnoteReference"/>
        </w:rPr>
        <w:footnoteRef/>
      </w:r>
      <w:r w:rsidRPr="002C78AF">
        <w:t xml:space="preserve"> Điều </w:t>
      </w:r>
      <w:r w:rsidRPr="002C78AF">
        <w:rPr>
          <w:lang w:val="vi-VN"/>
        </w:rPr>
        <w:t>này được sửa đổi theo quy định tại Điều 1</w:t>
      </w:r>
      <w:r>
        <w:t xml:space="preserve"> của</w:t>
      </w:r>
      <w:r w:rsidRPr="002C78AF">
        <w:t xml:space="preserve"> Thông tư số 07/2023/TT-NHNN sửa đổi, bổ sung một số điều của </w:t>
      </w:r>
      <w:r w:rsidRPr="002C78AF">
        <w:rPr>
          <w:lang w:val="da-DK"/>
        </w:rPr>
        <w:t>Thông tư số 38/2018/TT-NHNN ngày 25 tháng 12 năm 2018 của Thống đốc Ngân hàng Nhà nước Việt Nam quy định việc nhập khẩu hàng hóa phục vụ hoạt động in, đúc tiền của Ngân hàng Nhà nước Việt Nam</w:t>
      </w:r>
      <w:r w:rsidRPr="002C78AF">
        <w:t>, có hiệu lực kể từ ngày 14 tháng 8 năm 2023.</w:t>
      </w:r>
    </w:p>
    <w:p w:rsidR="002C78AF" w:rsidRPr="002C78AF" w:rsidRDefault="002C78AF">
      <w:pPr>
        <w:pStyle w:val="FootnoteText"/>
      </w:pPr>
    </w:p>
  </w:footnote>
  <w:footnote w:id="4">
    <w:p w:rsidR="002A72B1" w:rsidRPr="00E770C3" w:rsidRDefault="002C78AF" w:rsidP="0071618B">
      <w:pPr>
        <w:pStyle w:val="FootnoteText"/>
        <w:spacing w:before="120" w:after="120" w:line="260" w:lineRule="exact"/>
        <w:jc w:val="both"/>
        <w:rPr>
          <w:sz w:val="24"/>
          <w:szCs w:val="24"/>
          <w:lang w:val="vi-VN"/>
        </w:rPr>
      </w:pPr>
      <w:r>
        <w:rPr>
          <w:sz w:val="24"/>
          <w:szCs w:val="24"/>
          <w:lang w:val="vi-VN"/>
        </w:rPr>
        <w:tab/>
      </w:r>
      <w:r w:rsidR="002A72B1" w:rsidRPr="002A72B1">
        <w:rPr>
          <w:rStyle w:val="FootnoteReference"/>
          <w:sz w:val="24"/>
          <w:szCs w:val="24"/>
        </w:rPr>
        <w:footnoteRef/>
      </w:r>
      <w:r w:rsidR="002A72B1" w:rsidRPr="00E770C3">
        <w:rPr>
          <w:sz w:val="24"/>
          <w:szCs w:val="24"/>
          <w:lang w:val="vi-VN"/>
        </w:rPr>
        <w:t xml:space="preserve"> Khoản này được sửa đổi theo quy định tại Khoản 11 Điều 1</w:t>
      </w:r>
      <w:r>
        <w:rPr>
          <w:sz w:val="24"/>
          <w:szCs w:val="24"/>
        </w:rPr>
        <w:t xml:space="preserve"> của</w:t>
      </w:r>
      <w:r w:rsidR="002A72B1" w:rsidRPr="00E770C3">
        <w:rPr>
          <w:sz w:val="24"/>
          <w:szCs w:val="24"/>
          <w:lang w:val="vi-VN"/>
        </w:rPr>
        <w:t xml:space="preserve"> Thông tư số 14/2019/TT-NHNN sửa đổi, bổ sung một số điều các Thông tư có quy định về chế độ báo cáo định kỳ của Ngân hàng Nhà nước, có hiệu lực kể từ ngày 15</w:t>
      </w:r>
      <w:r w:rsidR="000E2DC3" w:rsidRPr="00E770C3">
        <w:rPr>
          <w:sz w:val="24"/>
          <w:szCs w:val="24"/>
          <w:lang w:val="vi-VN"/>
        </w:rPr>
        <w:t xml:space="preserve"> tháng 10 năm </w:t>
      </w:r>
      <w:r w:rsidR="002A72B1" w:rsidRPr="00E770C3">
        <w:rPr>
          <w:sz w:val="24"/>
          <w:szCs w:val="24"/>
          <w:lang w:val="vi-VN"/>
        </w:rPr>
        <w:t>2019</w:t>
      </w:r>
      <w:r w:rsidR="00376ED7" w:rsidRPr="00E770C3">
        <w:rPr>
          <w:sz w:val="24"/>
          <w:szCs w:val="24"/>
          <w:lang w:val="vi-VN"/>
        </w:rPr>
        <w:t>.</w:t>
      </w:r>
    </w:p>
  </w:footnote>
  <w:footnote w:id="5">
    <w:p w:rsidR="00DA0393" w:rsidRPr="00E770C3" w:rsidRDefault="002C78AF" w:rsidP="0071618B">
      <w:pPr>
        <w:pStyle w:val="FootnoteText"/>
        <w:spacing w:before="120" w:after="120" w:line="260" w:lineRule="exact"/>
        <w:jc w:val="both"/>
        <w:rPr>
          <w:sz w:val="24"/>
          <w:szCs w:val="24"/>
          <w:lang w:val="vi-VN"/>
        </w:rPr>
      </w:pPr>
      <w:r>
        <w:rPr>
          <w:sz w:val="24"/>
          <w:szCs w:val="24"/>
          <w:lang w:val="vi-VN"/>
        </w:rPr>
        <w:tab/>
      </w:r>
      <w:r w:rsidR="00376ED7" w:rsidRPr="00376ED7">
        <w:rPr>
          <w:rStyle w:val="FootnoteReference"/>
          <w:sz w:val="24"/>
          <w:szCs w:val="24"/>
        </w:rPr>
        <w:footnoteRef/>
      </w:r>
      <w:r w:rsidR="00376ED7" w:rsidRPr="00E770C3">
        <w:rPr>
          <w:sz w:val="24"/>
          <w:szCs w:val="24"/>
          <w:lang w:val="vi-VN"/>
        </w:rPr>
        <w:t xml:space="preserve">  </w:t>
      </w:r>
      <w:r w:rsidR="00DA0393" w:rsidRPr="00E770C3">
        <w:rPr>
          <w:sz w:val="24"/>
          <w:szCs w:val="24"/>
          <w:lang w:val="vi-VN"/>
        </w:rPr>
        <w:t xml:space="preserve">Điều 3 và Điều 4 </w:t>
      </w:r>
      <w:r>
        <w:rPr>
          <w:sz w:val="24"/>
          <w:szCs w:val="24"/>
        </w:rPr>
        <w:t xml:space="preserve">của </w:t>
      </w:r>
      <w:r w:rsidR="00DA0393" w:rsidRPr="00E770C3">
        <w:rPr>
          <w:sz w:val="24"/>
          <w:szCs w:val="24"/>
          <w:lang w:val="vi-VN"/>
        </w:rPr>
        <w:t>Thông tư số 14/2019/TT-NHNN sửa đổi, bổ sung một số điều các Thông tư có quy định về chế độ báo cáo định kỳ của Ngân hàng Nhà nước</w:t>
      </w:r>
      <w:r w:rsidR="000E2DC3" w:rsidRPr="00E770C3">
        <w:rPr>
          <w:sz w:val="24"/>
          <w:szCs w:val="24"/>
          <w:lang w:val="vi-VN"/>
        </w:rPr>
        <w:t>, có hiệu lực kể từ ngày 15 tháng 10 năm 2019</w:t>
      </w:r>
      <w:r w:rsidR="00DA0393" w:rsidRPr="00E770C3">
        <w:rPr>
          <w:sz w:val="24"/>
          <w:szCs w:val="24"/>
          <w:lang w:val="vi-VN"/>
        </w:rPr>
        <w:t xml:space="preserve"> quy định như sau:</w:t>
      </w:r>
    </w:p>
    <w:p w:rsidR="00DA0393" w:rsidRPr="00E770C3" w:rsidRDefault="00A143D3" w:rsidP="0071618B">
      <w:pPr>
        <w:pStyle w:val="FootnoteText"/>
        <w:spacing w:before="120" w:after="120" w:line="260" w:lineRule="exact"/>
        <w:ind w:firstLine="720"/>
        <w:jc w:val="both"/>
        <w:rPr>
          <w:b/>
          <w:i/>
          <w:sz w:val="24"/>
          <w:szCs w:val="24"/>
          <w:lang w:val="vi-VN"/>
        </w:rPr>
      </w:pPr>
      <w:bookmarkStart w:id="1" w:name="_Ref276391354"/>
      <w:bookmarkStart w:id="2" w:name="_Toc283729500"/>
      <w:r w:rsidRPr="00E770C3">
        <w:rPr>
          <w:b/>
          <w:i/>
          <w:sz w:val="24"/>
          <w:szCs w:val="24"/>
          <w:lang w:val="vi-VN"/>
        </w:rPr>
        <w:t>“</w:t>
      </w:r>
      <w:r w:rsidR="00DA0393" w:rsidRPr="00E770C3">
        <w:rPr>
          <w:b/>
          <w:i/>
          <w:sz w:val="24"/>
          <w:szCs w:val="24"/>
          <w:lang w:val="vi-VN"/>
        </w:rPr>
        <w:t xml:space="preserve">Điều </w:t>
      </w:r>
      <w:bookmarkEnd w:id="1"/>
      <w:r w:rsidR="00DA0393" w:rsidRPr="00E770C3">
        <w:rPr>
          <w:b/>
          <w:i/>
          <w:sz w:val="24"/>
          <w:szCs w:val="24"/>
          <w:lang w:val="vi-VN"/>
        </w:rPr>
        <w:t>3. Trách nhiệm tổ chức thực hiện</w:t>
      </w:r>
      <w:bookmarkEnd w:id="2"/>
    </w:p>
    <w:p w:rsidR="00DA0393" w:rsidRPr="00E770C3" w:rsidRDefault="0071618B" w:rsidP="0071618B">
      <w:pPr>
        <w:pStyle w:val="FootnoteText"/>
        <w:spacing w:before="120" w:after="120" w:line="260" w:lineRule="exact"/>
        <w:jc w:val="both"/>
        <w:rPr>
          <w:i/>
          <w:sz w:val="24"/>
          <w:szCs w:val="24"/>
          <w:lang w:val="vi-VN"/>
        </w:rPr>
      </w:pPr>
      <w:r w:rsidRPr="00E770C3">
        <w:rPr>
          <w:i/>
          <w:sz w:val="24"/>
          <w:szCs w:val="24"/>
          <w:lang w:val="vi-VN"/>
        </w:rPr>
        <w:tab/>
      </w:r>
      <w:r w:rsidR="00DA0393" w:rsidRPr="00E770C3">
        <w:rPr>
          <w:i/>
          <w:sz w:val="24"/>
          <w:szCs w:val="24"/>
          <w:lang w:val="vi-VN"/>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DA0393" w:rsidRPr="00E770C3" w:rsidRDefault="00DA0393" w:rsidP="0071618B">
      <w:pPr>
        <w:pStyle w:val="FootnoteText"/>
        <w:spacing w:before="120" w:after="120" w:line="260" w:lineRule="exact"/>
        <w:ind w:firstLine="720"/>
        <w:jc w:val="both"/>
        <w:rPr>
          <w:b/>
          <w:i/>
          <w:sz w:val="24"/>
          <w:szCs w:val="24"/>
          <w:lang w:val="vi-VN"/>
        </w:rPr>
      </w:pPr>
      <w:r w:rsidRPr="00E770C3">
        <w:rPr>
          <w:b/>
          <w:i/>
          <w:sz w:val="24"/>
          <w:szCs w:val="24"/>
          <w:lang w:val="vi-VN"/>
        </w:rPr>
        <w:t xml:space="preserve">Điều 4. Hiệu lực thi hành        </w:t>
      </w:r>
    </w:p>
    <w:p w:rsidR="00DA0393" w:rsidRPr="00E770C3" w:rsidRDefault="00DA0393" w:rsidP="0071618B">
      <w:pPr>
        <w:pStyle w:val="FootnoteText"/>
        <w:spacing w:before="120" w:after="120" w:line="260" w:lineRule="exact"/>
        <w:ind w:firstLine="567"/>
        <w:jc w:val="both"/>
        <w:rPr>
          <w:i/>
          <w:sz w:val="24"/>
          <w:szCs w:val="24"/>
          <w:lang w:val="vi-VN"/>
        </w:rPr>
      </w:pPr>
      <w:r w:rsidRPr="00E770C3">
        <w:rPr>
          <w:i/>
          <w:sz w:val="24"/>
          <w:szCs w:val="24"/>
          <w:lang w:val="vi-VN"/>
        </w:rPr>
        <w:t>1. Thông tư này có hiệu lực thi hành kể từ ngày 15 tháng 10 năm 2019.</w:t>
      </w:r>
    </w:p>
    <w:p w:rsidR="00DA0393" w:rsidRPr="00DA0393" w:rsidRDefault="00DA0393" w:rsidP="0071618B">
      <w:pPr>
        <w:spacing w:before="120" w:after="120" w:line="260" w:lineRule="exact"/>
        <w:ind w:firstLine="567"/>
        <w:jc w:val="both"/>
        <w:rPr>
          <w:i/>
          <w:lang w:val="nl-NL"/>
        </w:rPr>
      </w:pPr>
      <w:r w:rsidRPr="00DA0393">
        <w:rPr>
          <w:i/>
          <w:lang w:val="nl-NL"/>
        </w:rPr>
        <w:t>2. Thông tư này bãi bỏ các quy định sau:</w:t>
      </w:r>
    </w:p>
    <w:p w:rsidR="00DA0393" w:rsidRPr="00DA0393" w:rsidRDefault="00DA0393" w:rsidP="0071618B">
      <w:pPr>
        <w:spacing w:before="120" w:after="120" w:line="260" w:lineRule="exact"/>
        <w:ind w:firstLine="567"/>
        <w:jc w:val="both"/>
        <w:rPr>
          <w:i/>
          <w:lang w:val="nl-NL"/>
        </w:rPr>
      </w:pPr>
      <w:r w:rsidRPr="00DA0393">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376ED7" w:rsidRPr="002C78AF" w:rsidRDefault="00DA0393" w:rsidP="002C78AF">
      <w:pPr>
        <w:spacing w:before="120" w:after="120" w:line="260" w:lineRule="exact"/>
        <w:ind w:firstLine="567"/>
        <w:jc w:val="both"/>
        <w:rPr>
          <w:i/>
          <w:lang w:val="nl-NL"/>
        </w:rPr>
      </w:pPr>
      <w:r w:rsidRPr="00DA0393">
        <w:rPr>
          <w:i/>
          <w:lang w:val="nl-NL"/>
        </w:rPr>
        <w:t>b) Khoản 4 Điều 1 Thông tư số 44/2018/TT-NHNN ngày 28 tháng 12 năm 2018 của Thống đốc Ngân hàng Nhà nước Việt Nam sửa đổi, bổ sung một số điều củ</w:t>
      </w:r>
      <w:r>
        <w:rPr>
          <w:i/>
          <w:lang w:val="nl-NL"/>
        </w:rPr>
        <w:t>a Thông tư số 36/2012/TT-NHNN./</w:t>
      </w:r>
      <w:r w:rsidR="00A143D3">
        <w:rPr>
          <w:i/>
          <w:lang w:val="nl-NL"/>
        </w:rPr>
        <w:t>”</w:t>
      </w:r>
    </w:p>
  </w:footnote>
  <w:footnote w:id="6">
    <w:p w:rsidR="002C78AF" w:rsidRPr="00385EDB" w:rsidRDefault="00385EDB" w:rsidP="00385EDB">
      <w:pPr>
        <w:spacing w:before="60"/>
        <w:jc w:val="both"/>
      </w:pPr>
      <w:r>
        <w:tab/>
      </w:r>
      <w:r w:rsidR="002C78AF">
        <w:rPr>
          <w:rStyle w:val="FootnoteReference"/>
        </w:rPr>
        <w:footnoteRef/>
      </w:r>
      <w:r w:rsidR="002C78AF">
        <w:t xml:space="preserve"> </w:t>
      </w:r>
      <w:r>
        <w:t xml:space="preserve">Điều 3 và Điều 4 của </w:t>
      </w:r>
      <w:r w:rsidRPr="002C78AF">
        <w:t xml:space="preserve">Thông tư số 07/2023/TT-NHNN sửa đổi, bổ sung một số điều </w:t>
      </w:r>
      <w:r w:rsidRPr="00385EDB">
        <w:t xml:space="preserve">của </w:t>
      </w:r>
      <w:r w:rsidRPr="00385EDB">
        <w:rPr>
          <w:lang w:val="da-DK"/>
        </w:rPr>
        <w:t>Thông tư số 38/2018/TT-NHNN ngày 25 tháng 12 năm 2018 của Thống đốc Ngân hàng Nhà nước Việt Nam quy định việc nhập khẩu hàng hóa phục vụ hoạt động in, đúc tiền của Ngân hàng Nhà nước Việt Nam</w:t>
      </w:r>
      <w:r w:rsidRPr="00385EDB">
        <w:t>, có hiệu lực kể từ ngày 14 tháng 8 năm 2023 quy định như sau:</w:t>
      </w:r>
    </w:p>
    <w:p w:rsidR="00385EDB" w:rsidRPr="00385EDB" w:rsidRDefault="00385EDB" w:rsidP="00385EDB">
      <w:pPr>
        <w:pStyle w:val="ListParagraph"/>
        <w:spacing w:before="60"/>
        <w:ind w:left="0" w:firstLine="851"/>
        <w:contextualSpacing w:val="0"/>
        <w:jc w:val="both"/>
        <w:rPr>
          <w:b/>
          <w:i/>
        </w:rPr>
      </w:pPr>
      <w:r w:rsidRPr="00385EDB">
        <w:rPr>
          <w:i/>
        </w:rPr>
        <w:t>“</w:t>
      </w:r>
      <w:r w:rsidRPr="00385EDB">
        <w:rPr>
          <w:b/>
          <w:i/>
        </w:rPr>
        <w:t>Điều 3. Trách nhiệm tổ chức thực hiện</w:t>
      </w:r>
    </w:p>
    <w:p w:rsidR="00385EDB" w:rsidRPr="00385EDB" w:rsidRDefault="00385EDB" w:rsidP="00385EDB">
      <w:pPr>
        <w:pStyle w:val="ListParagraph"/>
        <w:spacing w:before="60"/>
        <w:ind w:left="0" w:firstLine="851"/>
        <w:contextualSpacing w:val="0"/>
        <w:jc w:val="both"/>
        <w:rPr>
          <w:i/>
        </w:rPr>
      </w:pPr>
      <w:r w:rsidRPr="00385EDB">
        <w:rPr>
          <w:i/>
        </w:rPr>
        <w:t>Chánh Văn phòng; Cục trưởng Cục Phát hành và Kho quỹ; Thủ trưởng các đơn vị thuộc Ngân hàng Nhà nước, cơ sở in, đúc tiền chịu trách nhiệm tổ chức thực hiện Thông tư này.</w:t>
      </w:r>
    </w:p>
    <w:p w:rsidR="00385EDB" w:rsidRPr="00385EDB" w:rsidRDefault="00385EDB" w:rsidP="00385EDB">
      <w:pPr>
        <w:pStyle w:val="ListParagraph"/>
        <w:spacing w:before="60"/>
        <w:ind w:left="0" w:firstLine="851"/>
        <w:contextualSpacing w:val="0"/>
        <w:jc w:val="both"/>
        <w:rPr>
          <w:b/>
          <w:i/>
        </w:rPr>
      </w:pPr>
      <w:r w:rsidRPr="00385EDB">
        <w:rPr>
          <w:b/>
          <w:i/>
        </w:rPr>
        <w:t>Điều 4. Điều khoản thi hành</w:t>
      </w:r>
    </w:p>
    <w:p w:rsidR="00385EDB" w:rsidRPr="00385EDB" w:rsidRDefault="00385EDB" w:rsidP="00385EDB">
      <w:pPr>
        <w:pStyle w:val="ListParagraph"/>
        <w:spacing w:before="60"/>
        <w:ind w:left="0" w:firstLine="851"/>
        <w:contextualSpacing w:val="0"/>
        <w:jc w:val="both"/>
        <w:rPr>
          <w:i/>
        </w:rPr>
      </w:pPr>
      <w:r w:rsidRPr="00385EDB">
        <w:rPr>
          <w:i/>
        </w:rPr>
        <w:t>1. Thông tư này có hiệu lực thi hành từ ngày 14 tháng 8 năm 2023.</w:t>
      </w:r>
    </w:p>
    <w:p w:rsidR="00385EDB" w:rsidRPr="00385EDB" w:rsidRDefault="00385EDB" w:rsidP="00385EDB">
      <w:pPr>
        <w:spacing w:before="60"/>
        <w:ind w:firstLine="851"/>
        <w:jc w:val="both"/>
        <w:rPr>
          <w:i/>
        </w:rPr>
      </w:pPr>
      <w:r w:rsidRPr="00385EDB">
        <w:rPr>
          <w:i/>
        </w:rPr>
        <w:t>2. Thay thế cụm từ “Mã số theo biểu thuế nhập khẩu” thành “Mã số theo Danh mục hàng hóa xuất khẩu, nhập khẩu Việt Nam (sau đây gọi là Mã số HS)” quy định tại Danh mục</w:t>
      </w:r>
      <w:r w:rsidRPr="00385EDB">
        <w:rPr>
          <w:i/>
          <w:color w:val="000000"/>
          <w:shd w:val="clear" w:color="auto" w:fill="FFFFFF"/>
        </w:rPr>
        <w:t xml:space="preserve"> máy móc, thiết bị, nguyên liệu, vật tư, linh kiện, bộ phận, phụ tùng nhập khẩu phục vụ hoạt động in, đúc tiền của Ngân hàng Nhà nước Việt Nam ban hành kèm theo </w:t>
      </w:r>
      <w:r w:rsidRPr="00385EDB">
        <w:rPr>
          <w:i/>
        </w:rPr>
        <w:t>Thông tư số 01/2017/TT-NHNN ngày 07/02/2017 của Thống đốc Ngân hàng Nhà nước Việt Nam ban hành Danh mục</w:t>
      </w:r>
      <w:r w:rsidRPr="00385EDB">
        <w:rPr>
          <w:i/>
          <w:color w:val="000000"/>
          <w:shd w:val="clear" w:color="auto" w:fill="FFFFFF"/>
        </w:rPr>
        <w:t xml:space="preserve"> máy móc, thiết bị, nguyên liệu, vật tư, linh kiện, bộ phận, phụ tùng nhập khẩu phục vụ hoạt động in, đúc tiền của Ngân hàng Nhà nước Việt Nam./.”</w:t>
      </w:r>
    </w:p>
    <w:p w:rsidR="00385EDB" w:rsidRPr="00385EDB" w:rsidRDefault="00385EDB" w:rsidP="00385EDB">
      <w:pPr>
        <w:spacing w:before="60"/>
        <w:jc w:val="both"/>
        <w:rPr>
          <w:i/>
        </w:rPr>
      </w:pPr>
    </w:p>
  </w:footnote>
  <w:footnote w:id="7">
    <w:p w:rsidR="002C78AF" w:rsidRPr="002C78AF" w:rsidRDefault="002C78AF" w:rsidP="002C78AF">
      <w:pPr>
        <w:spacing w:before="60"/>
        <w:jc w:val="both"/>
      </w:pPr>
      <w:r>
        <w:tab/>
      </w:r>
      <w:r>
        <w:rPr>
          <w:rStyle w:val="FootnoteReference"/>
        </w:rPr>
        <w:footnoteRef/>
      </w:r>
      <w:r>
        <w:t xml:space="preserve"> Phụ lục này được thay thế theo quy định tại Điều 2 của </w:t>
      </w:r>
      <w:r w:rsidRPr="002C78AF">
        <w:t xml:space="preserve">Thông tư số 07/2023/TT-NHNN sửa đổi, bổ sung một số điều của </w:t>
      </w:r>
      <w:r w:rsidRPr="002C78AF">
        <w:rPr>
          <w:lang w:val="da-DK"/>
        </w:rPr>
        <w:t>Thông tư số 38/2018/TT-NHNN ngày 25 tháng 12 năm 2018 của Thống đốc Ngân hàng Nhà nước Việt Nam quy định việc nhập khẩu hàng hóa phục vụ hoạt động in, đúc tiền của Ngân hàng Nhà nước Việt Nam</w:t>
      </w:r>
      <w:r w:rsidRPr="002C78AF">
        <w:t>, có hiệu lực kể từ ngày 14 tháng 8 năm 2023.</w:t>
      </w:r>
    </w:p>
    <w:p w:rsidR="002C78AF" w:rsidRDefault="002C78AF">
      <w:pPr>
        <w:pStyle w:val="FootnoteText"/>
      </w:pPr>
    </w:p>
  </w:footnote>
  <w:footnote w:id="8">
    <w:p w:rsidR="00376ED7" w:rsidRPr="00E770C3" w:rsidRDefault="00376ED7" w:rsidP="00376ED7">
      <w:pPr>
        <w:pStyle w:val="FootnoteText"/>
        <w:jc w:val="both"/>
        <w:rPr>
          <w:sz w:val="24"/>
          <w:szCs w:val="24"/>
          <w:lang w:val="nl-NL"/>
        </w:rPr>
      </w:pPr>
      <w:r>
        <w:rPr>
          <w:rStyle w:val="FootnoteReference"/>
        </w:rPr>
        <w:footnoteRef/>
      </w:r>
      <w:r w:rsidRPr="00E770C3">
        <w:rPr>
          <w:lang w:val="nl-NL"/>
        </w:rPr>
        <w:t xml:space="preserve"> </w:t>
      </w:r>
      <w:r w:rsidRPr="00E770C3">
        <w:rPr>
          <w:sz w:val="24"/>
          <w:szCs w:val="24"/>
          <w:lang w:val="nl-NL"/>
        </w:rPr>
        <w:t>Mẫu này được bổ sung theo quy định tại Khoản 6 Điều 2 Thông tư số 14/2019/TT-NHNN sửa đổi, bổ sung một số điều</w:t>
      </w:r>
      <w:r w:rsidR="000E2DC3" w:rsidRPr="00E770C3">
        <w:rPr>
          <w:sz w:val="24"/>
          <w:szCs w:val="24"/>
          <w:lang w:val="nl-NL"/>
        </w:rPr>
        <w:t xml:space="preserve"> tại</w:t>
      </w:r>
      <w:r w:rsidRPr="00E770C3">
        <w:rPr>
          <w:sz w:val="24"/>
          <w:szCs w:val="24"/>
          <w:lang w:val="nl-NL"/>
        </w:rPr>
        <w:t xml:space="preserve"> các Thông tư có quy định về chế độ báo cáo định kỳ của Ngân hàng Nhà nước, có hiệu lực kể từ ngày 15</w:t>
      </w:r>
      <w:r w:rsidR="000E2DC3" w:rsidRPr="00E770C3">
        <w:rPr>
          <w:sz w:val="24"/>
          <w:szCs w:val="24"/>
          <w:lang w:val="nl-NL"/>
        </w:rPr>
        <w:t xml:space="preserve"> tháng 10 năm 2019.</w:t>
      </w:r>
    </w:p>
    <w:p w:rsidR="00376ED7" w:rsidRPr="00E770C3" w:rsidRDefault="00376ED7">
      <w:pPr>
        <w:pStyle w:val="FootnoteText"/>
        <w:rPr>
          <w:sz w:val="24"/>
          <w:szCs w:val="24"/>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3D3" w:rsidRDefault="005D4042">
    <w:pPr>
      <w:pStyle w:val="Header"/>
      <w:jc w:val="center"/>
    </w:pPr>
    <w:r>
      <w:fldChar w:fldCharType="begin"/>
    </w:r>
    <w:r>
      <w:instrText xml:space="preserve"> PAGE   \* MERGEFORMAT </w:instrText>
    </w:r>
    <w:r>
      <w:fldChar w:fldCharType="separate"/>
    </w:r>
    <w:r w:rsidR="00A523D4">
      <w:rPr>
        <w:noProof/>
      </w:rPr>
      <w:t>11</w:t>
    </w:r>
    <w:r>
      <w:rPr>
        <w:noProof/>
      </w:rPr>
      <w:fldChar w:fldCharType="end"/>
    </w:r>
  </w:p>
  <w:p w:rsidR="00A143D3" w:rsidRDefault="00A143D3" w:rsidP="00A143D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C6"/>
    <w:rsid w:val="00003EEB"/>
    <w:rsid w:val="00015934"/>
    <w:rsid w:val="000302BE"/>
    <w:rsid w:val="00033FAC"/>
    <w:rsid w:val="00041686"/>
    <w:rsid w:val="00041C75"/>
    <w:rsid w:val="00044B8F"/>
    <w:rsid w:val="00055A03"/>
    <w:rsid w:val="00061BF1"/>
    <w:rsid w:val="000705FA"/>
    <w:rsid w:val="00072943"/>
    <w:rsid w:val="00080E94"/>
    <w:rsid w:val="00085317"/>
    <w:rsid w:val="0008627A"/>
    <w:rsid w:val="0008746A"/>
    <w:rsid w:val="00093883"/>
    <w:rsid w:val="000960A8"/>
    <w:rsid w:val="00096F23"/>
    <w:rsid w:val="000B4910"/>
    <w:rsid w:val="000B699C"/>
    <w:rsid w:val="000B6C16"/>
    <w:rsid w:val="000C4D26"/>
    <w:rsid w:val="000D6F49"/>
    <w:rsid w:val="000E2B48"/>
    <w:rsid w:val="000E2DC3"/>
    <w:rsid w:val="000E46A5"/>
    <w:rsid w:val="000E67B5"/>
    <w:rsid w:val="000F14C7"/>
    <w:rsid w:val="000F7DB8"/>
    <w:rsid w:val="00105932"/>
    <w:rsid w:val="00106A6F"/>
    <w:rsid w:val="001079BB"/>
    <w:rsid w:val="00111C91"/>
    <w:rsid w:val="00113016"/>
    <w:rsid w:val="0011454C"/>
    <w:rsid w:val="00120392"/>
    <w:rsid w:val="00120705"/>
    <w:rsid w:val="00137599"/>
    <w:rsid w:val="001516C0"/>
    <w:rsid w:val="00153AAC"/>
    <w:rsid w:val="00162608"/>
    <w:rsid w:val="00163CED"/>
    <w:rsid w:val="001730FB"/>
    <w:rsid w:val="00184AE2"/>
    <w:rsid w:val="0018525A"/>
    <w:rsid w:val="00191806"/>
    <w:rsid w:val="00191D92"/>
    <w:rsid w:val="001A3B03"/>
    <w:rsid w:val="001A479E"/>
    <w:rsid w:val="001A5678"/>
    <w:rsid w:val="001A6C83"/>
    <w:rsid w:val="001A6E3B"/>
    <w:rsid w:val="001B1134"/>
    <w:rsid w:val="001C036F"/>
    <w:rsid w:val="001C0DB2"/>
    <w:rsid w:val="001D45BC"/>
    <w:rsid w:val="001D4E43"/>
    <w:rsid w:val="001E08BA"/>
    <w:rsid w:val="001E4B58"/>
    <w:rsid w:val="001F33C8"/>
    <w:rsid w:val="001F38EF"/>
    <w:rsid w:val="002021E1"/>
    <w:rsid w:val="0020366C"/>
    <w:rsid w:val="0020640B"/>
    <w:rsid w:val="002122A6"/>
    <w:rsid w:val="0021297C"/>
    <w:rsid w:val="00215C0F"/>
    <w:rsid w:val="00217634"/>
    <w:rsid w:val="00230191"/>
    <w:rsid w:val="00241880"/>
    <w:rsid w:val="00245FF9"/>
    <w:rsid w:val="00246E99"/>
    <w:rsid w:val="00251227"/>
    <w:rsid w:val="002527C4"/>
    <w:rsid w:val="0025477D"/>
    <w:rsid w:val="00255213"/>
    <w:rsid w:val="00256678"/>
    <w:rsid w:val="00257330"/>
    <w:rsid w:val="00274DE5"/>
    <w:rsid w:val="002750D5"/>
    <w:rsid w:val="00286969"/>
    <w:rsid w:val="00296485"/>
    <w:rsid w:val="002A72B1"/>
    <w:rsid w:val="002B6CFC"/>
    <w:rsid w:val="002C6ED2"/>
    <w:rsid w:val="002C78AF"/>
    <w:rsid w:val="002C7AB1"/>
    <w:rsid w:val="002D110A"/>
    <w:rsid w:val="002F00A1"/>
    <w:rsid w:val="002F0CB5"/>
    <w:rsid w:val="002F53C5"/>
    <w:rsid w:val="00300365"/>
    <w:rsid w:val="003023BA"/>
    <w:rsid w:val="003038FA"/>
    <w:rsid w:val="003130CC"/>
    <w:rsid w:val="00314215"/>
    <w:rsid w:val="00315673"/>
    <w:rsid w:val="00320593"/>
    <w:rsid w:val="00323ADE"/>
    <w:rsid w:val="0035534E"/>
    <w:rsid w:val="00355E25"/>
    <w:rsid w:val="00357F56"/>
    <w:rsid w:val="003663E1"/>
    <w:rsid w:val="00372EAC"/>
    <w:rsid w:val="00372FDE"/>
    <w:rsid w:val="00376ED7"/>
    <w:rsid w:val="003800DC"/>
    <w:rsid w:val="003813A1"/>
    <w:rsid w:val="00381945"/>
    <w:rsid w:val="00385EDB"/>
    <w:rsid w:val="0038736B"/>
    <w:rsid w:val="0039002E"/>
    <w:rsid w:val="00392B5A"/>
    <w:rsid w:val="0039609E"/>
    <w:rsid w:val="003976DD"/>
    <w:rsid w:val="003A5D0F"/>
    <w:rsid w:val="003B0D40"/>
    <w:rsid w:val="003B7198"/>
    <w:rsid w:val="003B7871"/>
    <w:rsid w:val="003C0016"/>
    <w:rsid w:val="003C03F8"/>
    <w:rsid w:val="003C1ABA"/>
    <w:rsid w:val="003C5D07"/>
    <w:rsid w:val="003D1517"/>
    <w:rsid w:val="003D2B8B"/>
    <w:rsid w:val="003D53DD"/>
    <w:rsid w:val="003D5B3B"/>
    <w:rsid w:val="003E20A9"/>
    <w:rsid w:val="003E3F2D"/>
    <w:rsid w:val="003E4180"/>
    <w:rsid w:val="003E5804"/>
    <w:rsid w:val="003F35E8"/>
    <w:rsid w:val="0040241D"/>
    <w:rsid w:val="004220C8"/>
    <w:rsid w:val="0042385B"/>
    <w:rsid w:val="004359F7"/>
    <w:rsid w:val="00442211"/>
    <w:rsid w:val="0045174D"/>
    <w:rsid w:val="00466994"/>
    <w:rsid w:val="00467763"/>
    <w:rsid w:val="00483FA1"/>
    <w:rsid w:val="004927D2"/>
    <w:rsid w:val="004A274E"/>
    <w:rsid w:val="004A60AF"/>
    <w:rsid w:val="004E6627"/>
    <w:rsid w:val="004F458D"/>
    <w:rsid w:val="00503AAC"/>
    <w:rsid w:val="00503D5A"/>
    <w:rsid w:val="00506665"/>
    <w:rsid w:val="005118FE"/>
    <w:rsid w:val="00521EEE"/>
    <w:rsid w:val="00534873"/>
    <w:rsid w:val="005364A4"/>
    <w:rsid w:val="00540508"/>
    <w:rsid w:val="005466DA"/>
    <w:rsid w:val="00552C54"/>
    <w:rsid w:val="00556B1D"/>
    <w:rsid w:val="00561453"/>
    <w:rsid w:val="0056355F"/>
    <w:rsid w:val="00570551"/>
    <w:rsid w:val="0057154C"/>
    <w:rsid w:val="005734EE"/>
    <w:rsid w:val="0057454A"/>
    <w:rsid w:val="005A18C2"/>
    <w:rsid w:val="005A2958"/>
    <w:rsid w:val="005A5262"/>
    <w:rsid w:val="005A59B3"/>
    <w:rsid w:val="005A6F2E"/>
    <w:rsid w:val="005C3279"/>
    <w:rsid w:val="005D4042"/>
    <w:rsid w:val="005E228C"/>
    <w:rsid w:val="005E37C6"/>
    <w:rsid w:val="005E75F6"/>
    <w:rsid w:val="005F3ED9"/>
    <w:rsid w:val="005F5504"/>
    <w:rsid w:val="005F62A6"/>
    <w:rsid w:val="0061684F"/>
    <w:rsid w:val="00621C25"/>
    <w:rsid w:val="00621F0C"/>
    <w:rsid w:val="006271D4"/>
    <w:rsid w:val="00630FB4"/>
    <w:rsid w:val="00631A93"/>
    <w:rsid w:val="00641A67"/>
    <w:rsid w:val="00641E51"/>
    <w:rsid w:val="00650C45"/>
    <w:rsid w:val="00654046"/>
    <w:rsid w:val="006543EE"/>
    <w:rsid w:val="00655756"/>
    <w:rsid w:val="0065767F"/>
    <w:rsid w:val="00662C3C"/>
    <w:rsid w:val="0066666C"/>
    <w:rsid w:val="00667954"/>
    <w:rsid w:val="00667C7D"/>
    <w:rsid w:val="00671C92"/>
    <w:rsid w:val="00676B25"/>
    <w:rsid w:val="00677631"/>
    <w:rsid w:val="006809E0"/>
    <w:rsid w:val="00681327"/>
    <w:rsid w:val="006827B1"/>
    <w:rsid w:val="00697F9A"/>
    <w:rsid w:val="006A43DD"/>
    <w:rsid w:val="006A5BF8"/>
    <w:rsid w:val="006B3572"/>
    <w:rsid w:val="006B493C"/>
    <w:rsid w:val="006B6B7C"/>
    <w:rsid w:val="006C5086"/>
    <w:rsid w:val="006C73F3"/>
    <w:rsid w:val="006D2C86"/>
    <w:rsid w:val="006D7573"/>
    <w:rsid w:val="006D7F80"/>
    <w:rsid w:val="006E5BF5"/>
    <w:rsid w:val="00700080"/>
    <w:rsid w:val="00704BBD"/>
    <w:rsid w:val="00705636"/>
    <w:rsid w:val="00707B47"/>
    <w:rsid w:val="00712970"/>
    <w:rsid w:val="00712A90"/>
    <w:rsid w:val="0071618B"/>
    <w:rsid w:val="00720D6A"/>
    <w:rsid w:val="00722DB5"/>
    <w:rsid w:val="007238C2"/>
    <w:rsid w:val="007255EB"/>
    <w:rsid w:val="00734636"/>
    <w:rsid w:val="00737981"/>
    <w:rsid w:val="00743753"/>
    <w:rsid w:val="00743B56"/>
    <w:rsid w:val="0074561D"/>
    <w:rsid w:val="0075325B"/>
    <w:rsid w:val="0077046E"/>
    <w:rsid w:val="00771F6C"/>
    <w:rsid w:val="00775ABB"/>
    <w:rsid w:val="007820AD"/>
    <w:rsid w:val="00783DE8"/>
    <w:rsid w:val="00786D5D"/>
    <w:rsid w:val="00797F07"/>
    <w:rsid w:val="007A409D"/>
    <w:rsid w:val="007A54BB"/>
    <w:rsid w:val="007A604F"/>
    <w:rsid w:val="007A7B44"/>
    <w:rsid w:val="007B3530"/>
    <w:rsid w:val="007B4CBD"/>
    <w:rsid w:val="007B7125"/>
    <w:rsid w:val="007C5804"/>
    <w:rsid w:val="007D6585"/>
    <w:rsid w:val="007E159D"/>
    <w:rsid w:val="007E591E"/>
    <w:rsid w:val="007F5288"/>
    <w:rsid w:val="007F5F0B"/>
    <w:rsid w:val="008008B1"/>
    <w:rsid w:val="00804B66"/>
    <w:rsid w:val="00805281"/>
    <w:rsid w:val="008071EA"/>
    <w:rsid w:val="00814DD8"/>
    <w:rsid w:val="00814E55"/>
    <w:rsid w:val="00816884"/>
    <w:rsid w:val="00842401"/>
    <w:rsid w:val="0084385F"/>
    <w:rsid w:val="00845879"/>
    <w:rsid w:val="00863187"/>
    <w:rsid w:val="008721DF"/>
    <w:rsid w:val="0087390D"/>
    <w:rsid w:val="00876F0A"/>
    <w:rsid w:val="00877DBE"/>
    <w:rsid w:val="00877FD2"/>
    <w:rsid w:val="008826B6"/>
    <w:rsid w:val="00885CB2"/>
    <w:rsid w:val="00891387"/>
    <w:rsid w:val="0089417F"/>
    <w:rsid w:val="008A430D"/>
    <w:rsid w:val="008A6BDF"/>
    <w:rsid w:val="008B155B"/>
    <w:rsid w:val="008B305E"/>
    <w:rsid w:val="008B6750"/>
    <w:rsid w:val="008D4BEE"/>
    <w:rsid w:val="008D60B0"/>
    <w:rsid w:val="008E1E0E"/>
    <w:rsid w:val="008E3CF2"/>
    <w:rsid w:val="008F00ED"/>
    <w:rsid w:val="008F2F4C"/>
    <w:rsid w:val="0090708D"/>
    <w:rsid w:val="009104F6"/>
    <w:rsid w:val="00913CF4"/>
    <w:rsid w:val="009149FC"/>
    <w:rsid w:val="00917643"/>
    <w:rsid w:val="0092167F"/>
    <w:rsid w:val="009220F7"/>
    <w:rsid w:val="009265E3"/>
    <w:rsid w:val="00933609"/>
    <w:rsid w:val="00937E17"/>
    <w:rsid w:val="00941CC3"/>
    <w:rsid w:val="00942FF5"/>
    <w:rsid w:val="00954980"/>
    <w:rsid w:val="00955D26"/>
    <w:rsid w:val="00957C1B"/>
    <w:rsid w:val="0096242E"/>
    <w:rsid w:val="00964EF5"/>
    <w:rsid w:val="00970964"/>
    <w:rsid w:val="00974433"/>
    <w:rsid w:val="00975540"/>
    <w:rsid w:val="00980D55"/>
    <w:rsid w:val="0098171A"/>
    <w:rsid w:val="00982E81"/>
    <w:rsid w:val="00985D82"/>
    <w:rsid w:val="009951E7"/>
    <w:rsid w:val="009A08C3"/>
    <w:rsid w:val="009A650E"/>
    <w:rsid w:val="009B61F4"/>
    <w:rsid w:val="009D6E8E"/>
    <w:rsid w:val="009E5594"/>
    <w:rsid w:val="009E617C"/>
    <w:rsid w:val="009E657E"/>
    <w:rsid w:val="009E717D"/>
    <w:rsid w:val="009F0C43"/>
    <w:rsid w:val="009F2AF2"/>
    <w:rsid w:val="00A02358"/>
    <w:rsid w:val="00A143D3"/>
    <w:rsid w:val="00A235E6"/>
    <w:rsid w:val="00A24AEB"/>
    <w:rsid w:val="00A24EF3"/>
    <w:rsid w:val="00A331A1"/>
    <w:rsid w:val="00A35806"/>
    <w:rsid w:val="00A37B58"/>
    <w:rsid w:val="00A502C9"/>
    <w:rsid w:val="00A523D4"/>
    <w:rsid w:val="00A55540"/>
    <w:rsid w:val="00A567CF"/>
    <w:rsid w:val="00A57689"/>
    <w:rsid w:val="00A622D2"/>
    <w:rsid w:val="00A62C2D"/>
    <w:rsid w:val="00A650A6"/>
    <w:rsid w:val="00A724A1"/>
    <w:rsid w:val="00A73E2E"/>
    <w:rsid w:val="00A74F91"/>
    <w:rsid w:val="00A75931"/>
    <w:rsid w:val="00A8056A"/>
    <w:rsid w:val="00A808C4"/>
    <w:rsid w:val="00A80AE8"/>
    <w:rsid w:val="00A81EE3"/>
    <w:rsid w:val="00A82B27"/>
    <w:rsid w:val="00A843ED"/>
    <w:rsid w:val="00A91307"/>
    <w:rsid w:val="00A94B80"/>
    <w:rsid w:val="00A954F4"/>
    <w:rsid w:val="00AA2E1C"/>
    <w:rsid w:val="00AA5AFC"/>
    <w:rsid w:val="00AB03C7"/>
    <w:rsid w:val="00AC16B5"/>
    <w:rsid w:val="00AC4F86"/>
    <w:rsid w:val="00AC6B9F"/>
    <w:rsid w:val="00AD0F67"/>
    <w:rsid w:val="00AE794E"/>
    <w:rsid w:val="00AF0F9A"/>
    <w:rsid w:val="00AF23B9"/>
    <w:rsid w:val="00AF3241"/>
    <w:rsid w:val="00AF4280"/>
    <w:rsid w:val="00AF7B53"/>
    <w:rsid w:val="00B02B29"/>
    <w:rsid w:val="00B0607B"/>
    <w:rsid w:val="00B066ED"/>
    <w:rsid w:val="00B12604"/>
    <w:rsid w:val="00B150E6"/>
    <w:rsid w:val="00B223DB"/>
    <w:rsid w:val="00B25656"/>
    <w:rsid w:val="00B32E75"/>
    <w:rsid w:val="00B3425C"/>
    <w:rsid w:val="00B37D83"/>
    <w:rsid w:val="00B419F2"/>
    <w:rsid w:val="00B4265B"/>
    <w:rsid w:val="00B4283B"/>
    <w:rsid w:val="00B46D80"/>
    <w:rsid w:val="00B501D0"/>
    <w:rsid w:val="00B531D7"/>
    <w:rsid w:val="00B61B00"/>
    <w:rsid w:val="00B64E52"/>
    <w:rsid w:val="00B71E8D"/>
    <w:rsid w:val="00B71F34"/>
    <w:rsid w:val="00B73347"/>
    <w:rsid w:val="00B805B8"/>
    <w:rsid w:val="00B811AB"/>
    <w:rsid w:val="00B81D1F"/>
    <w:rsid w:val="00B86470"/>
    <w:rsid w:val="00B9323C"/>
    <w:rsid w:val="00B938D0"/>
    <w:rsid w:val="00B975F4"/>
    <w:rsid w:val="00BB192C"/>
    <w:rsid w:val="00BB1F5C"/>
    <w:rsid w:val="00BB322D"/>
    <w:rsid w:val="00BC2AA5"/>
    <w:rsid w:val="00BC4037"/>
    <w:rsid w:val="00BC68DA"/>
    <w:rsid w:val="00BE4E1E"/>
    <w:rsid w:val="00BE515F"/>
    <w:rsid w:val="00BF6D96"/>
    <w:rsid w:val="00C00291"/>
    <w:rsid w:val="00C021C1"/>
    <w:rsid w:val="00C04586"/>
    <w:rsid w:val="00C15B22"/>
    <w:rsid w:val="00C20185"/>
    <w:rsid w:val="00C256B6"/>
    <w:rsid w:val="00C27AF1"/>
    <w:rsid w:val="00C34DD1"/>
    <w:rsid w:val="00C404A7"/>
    <w:rsid w:val="00C52161"/>
    <w:rsid w:val="00C556B8"/>
    <w:rsid w:val="00C60143"/>
    <w:rsid w:val="00C64670"/>
    <w:rsid w:val="00C6632D"/>
    <w:rsid w:val="00C779E3"/>
    <w:rsid w:val="00C837D4"/>
    <w:rsid w:val="00CA46C3"/>
    <w:rsid w:val="00CA6320"/>
    <w:rsid w:val="00CA7768"/>
    <w:rsid w:val="00CA7935"/>
    <w:rsid w:val="00CB1C50"/>
    <w:rsid w:val="00CB3D7F"/>
    <w:rsid w:val="00CB400D"/>
    <w:rsid w:val="00CB61D6"/>
    <w:rsid w:val="00CB77F4"/>
    <w:rsid w:val="00CB7BCE"/>
    <w:rsid w:val="00CC68B3"/>
    <w:rsid w:val="00CD1BB3"/>
    <w:rsid w:val="00CD3D6B"/>
    <w:rsid w:val="00CE338A"/>
    <w:rsid w:val="00CE3AD3"/>
    <w:rsid w:val="00CF03A7"/>
    <w:rsid w:val="00CF5AB0"/>
    <w:rsid w:val="00CF76C4"/>
    <w:rsid w:val="00D07D3E"/>
    <w:rsid w:val="00D15BFD"/>
    <w:rsid w:val="00D201AB"/>
    <w:rsid w:val="00D259EC"/>
    <w:rsid w:val="00D3203B"/>
    <w:rsid w:val="00D33081"/>
    <w:rsid w:val="00D34B9A"/>
    <w:rsid w:val="00D40938"/>
    <w:rsid w:val="00D439EB"/>
    <w:rsid w:val="00D52ABD"/>
    <w:rsid w:val="00D5460C"/>
    <w:rsid w:val="00D55DAB"/>
    <w:rsid w:val="00D60305"/>
    <w:rsid w:val="00D60CC1"/>
    <w:rsid w:val="00D66746"/>
    <w:rsid w:val="00D76C87"/>
    <w:rsid w:val="00D854F8"/>
    <w:rsid w:val="00D86B54"/>
    <w:rsid w:val="00D872F6"/>
    <w:rsid w:val="00D92E68"/>
    <w:rsid w:val="00D92FA8"/>
    <w:rsid w:val="00D93AF8"/>
    <w:rsid w:val="00D95F11"/>
    <w:rsid w:val="00DA0393"/>
    <w:rsid w:val="00DA317E"/>
    <w:rsid w:val="00DA3E0F"/>
    <w:rsid w:val="00DA4D73"/>
    <w:rsid w:val="00DA7CF9"/>
    <w:rsid w:val="00DB5FFA"/>
    <w:rsid w:val="00DC634E"/>
    <w:rsid w:val="00DD2D27"/>
    <w:rsid w:val="00DD36A7"/>
    <w:rsid w:val="00DF0034"/>
    <w:rsid w:val="00DF180E"/>
    <w:rsid w:val="00DF4A4D"/>
    <w:rsid w:val="00DF6100"/>
    <w:rsid w:val="00DF7E93"/>
    <w:rsid w:val="00E0529D"/>
    <w:rsid w:val="00E105F0"/>
    <w:rsid w:val="00E10DDC"/>
    <w:rsid w:val="00E15D9C"/>
    <w:rsid w:val="00E162AC"/>
    <w:rsid w:val="00E16BFA"/>
    <w:rsid w:val="00E16E17"/>
    <w:rsid w:val="00E20070"/>
    <w:rsid w:val="00E23324"/>
    <w:rsid w:val="00E43029"/>
    <w:rsid w:val="00E437F9"/>
    <w:rsid w:val="00E45829"/>
    <w:rsid w:val="00E477FF"/>
    <w:rsid w:val="00E528A1"/>
    <w:rsid w:val="00E62176"/>
    <w:rsid w:val="00E62A80"/>
    <w:rsid w:val="00E63E7C"/>
    <w:rsid w:val="00E64B2C"/>
    <w:rsid w:val="00E668DC"/>
    <w:rsid w:val="00E719B3"/>
    <w:rsid w:val="00E7256D"/>
    <w:rsid w:val="00E76648"/>
    <w:rsid w:val="00E770C3"/>
    <w:rsid w:val="00E8023B"/>
    <w:rsid w:val="00E84B2F"/>
    <w:rsid w:val="00E90E2B"/>
    <w:rsid w:val="00E90E70"/>
    <w:rsid w:val="00E9252E"/>
    <w:rsid w:val="00E927E5"/>
    <w:rsid w:val="00E9425E"/>
    <w:rsid w:val="00EA5B5C"/>
    <w:rsid w:val="00EB1C50"/>
    <w:rsid w:val="00EB2F47"/>
    <w:rsid w:val="00EC6237"/>
    <w:rsid w:val="00EC6814"/>
    <w:rsid w:val="00ED3139"/>
    <w:rsid w:val="00EE0E6C"/>
    <w:rsid w:val="00EE1D0D"/>
    <w:rsid w:val="00EE2064"/>
    <w:rsid w:val="00EE320D"/>
    <w:rsid w:val="00EF19D3"/>
    <w:rsid w:val="00EF353D"/>
    <w:rsid w:val="00F1359C"/>
    <w:rsid w:val="00F2257A"/>
    <w:rsid w:val="00F26630"/>
    <w:rsid w:val="00F32E7A"/>
    <w:rsid w:val="00F357FB"/>
    <w:rsid w:val="00F4220B"/>
    <w:rsid w:val="00F62EBD"/>
    <w:rsid w:val="00F63058"/>
    <w:rsid w:val="00F8142D"/>
    <w:rsid w:val="00F84612"/>
    <w:rsid w:val="00F8637C"/>
    <w:rsid w:val="00F94B9D"/>
    <w:rsid w:val="00FB0A4D"/>
    <w:rsid w:val="00FB0E16"/>
    <w:rsid w:val="00FB4C47"/>
    <w:rsid w:val="00FC5EA1"/>
    <w:rsid w:val="00FD4A30"/>
    <w:rsid w:val="00FD76EF"/>
    <w:rsid w:val="00FE5D72"/>
    <w:rsid w:val="00FE62D8"/>
    <w:rsid w:val="00FE77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83228E-94E6-461E-9879-584ACD3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BA"/>
    <w:rPr>
      <w:sz w:val="24"/>
      <w:szCs w:val="24"/>
      <w:lang w:val="en-US" w:eastAsia="en-US"/>
    </w:rPr>
  </w:style>
  <w:style w:type="paragraph" w:styleId="Heading2">
    <w:name w:val="heading 2"/>
    <w:basedOn w:val="Normal"/>
    <w:next w:val="Normal"/>
    <w:qFormat/>
    <w:rsid w:val="005E37C6"/>
    <w:pPr>
      <w:keepNext/>
      <w:autoSpaceDE w:val="0"/>
      <w:autoSpaceDN w:val="0"/>
      <w:ind w:right="-79"/>
      <w:jc w:val="center"/>
      <w:outlineLvl w:val="1"/>
    </w:pPr>
    <w:rPr>
      <w:rFonts w:ascii=".VnTime"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C1ABA"/>
    <w:pPr>
      <w:tabs>
        <w:tab w:val="center" w:pos="4320"/>
        <w:tab w:val="right" w:pos="8640"/>
      </w:tabs>
    </w:pPr>
  </w:style>
  <w:style w:type="character" w:styleId="PageNumber">
    <w:name w:val="page number"/>
    <w:basedOn w:val="DefaultParagraphFont"/>
    <w:rsid w:val="003C1ABA"/>
  </w:style>
  <w:style w:type="paragraph" w:styleId="ListBullet">
    <w:name w:val="List Bullet"/>
    <w:basedOn w:val="Normal"/>
    <w:autoRedefine/>
    <w:rsid w:val="00E0529D"/>
    <w:pPr>
      <w:spacing w:before="120"/>
      <w:ind w:firstLine="720"/>
      <w:jc w:val="both"/>
    </w:pPr>
    <w:rPr>
      <w:rFonts w:cs="VnCentury Schoolbook"/>
      <w:i/>
      <w:sz w:val="28"/>
      <w:szCs w:val="28"/>
    </w:rPr>
  </w:style>
  <w:style w:type="paragraph" w:styleId="ListParagraph">
    <w:name w:val="List Paragraph"/>
    <w:basedOn w:val="Normal"/>
    <w:uiPriority w:val="34"/>
    <w:qFormat/>
    <w:rsid w:val="00B71E8D"/>
    <w:pPr>
      <w:ind w:left="720"/>
      <w:contextualSpacing/>
    </w:pPr>
  </w:style>
  <w:style w:type="paragraph" w:styleId="NormalWeb">
    <w:name w:val="Normal (Web)"/>
    <w:basedOn w:val="Normal"/>
    <w:link w:val="NormalWebChar"/>
    <w:uiPriority w:val="99"/>
    <w:unhideWhenUsed/>
    <w:rsid w:val="00B71E8D"/>
    <w:pPr>
      <w:spacing w:line="312" w:lineRule="auto"/>
    </w:pPr>
    <w:rPr>
      <w:lang w:val="vi-VN" w:eastAsia="vi-VN"/>
    </w:rPr>
  </w:style>
  <w:style w:type="paragraph" w:styleId="Header">
    <w:name w:val="header"/>
    <w:basedOn w:val="Normal"/>
    <w:link w:val="HeaderChar"/>
    <w:uiPriority w:val="99"/>
    <w:rsid w:val="00814DD8"/>
    <w:pPr>
      <w:tabs>
        <w:tab w:val="center" w:pos="4513"/>
        <w:tab w:val="right" w:pos="9026"/>
      </w:tabs>
    </w:pPr>
  </w:style>
  <w:style w:type="character" w:customStyle="1" w:styleId="HeaderChar">
    <w:name w:val="Header Char"/>
    <w:link w:val="Header"/>
    <w:uiPriority w:val="99"/>
    <w:rsid w:val="00814DD8"/>
    <w:rPr>
      <w:sz w:val="24"/>
      <w:szCs w:val="24"/>
      <w:lang w:val="en-US" w:eastAsia="en-US"/>
    </w:rPr>
  </w:style>
  <w:style w:type="character" w:customStyle="1" w:styleId="FooterChar">
    <w:name w:val="Footer Char"/>
    <w:link w:val="Footer"/>
    <w:uiPriority w:val="99"/>
    <w:rsid w:val="00814DD8"/>
    <w:rPr>
      <w:sz w:val="24"/>
      <w:szCs w:val="24"/>
      <w:lang w:val="en-US" w:eastAsia="en-US"/>
    </w:rPr>
  </w:style>
  <w:style w:type="paragraph" w:styleId="FootnoteText">
    <w:name w:val="footnote text"/>
    <w:basedOn w:val="Normal"/>
    <w:link w:val="FootnoteTextChar"/>
    <w:rsid w:val="008721DF"/>
    <w:rPr>
      <w:sz w:val="20"/>
      <w:szCs w:val="20"/>
    </w:rPr>
  </w:style>
  <w:style w:type="character" w:customStyle="1" w:styleId="FootnoteTextChar">
    <w:name w:val="Footnote Text Char"/>
    <w:basedOn w:val="DefaultParagraphFont"/>
    <w:link w:val="FootnoteText"/>
    <w:rsid w:val="008721DF"/>
  </w:style>
  <w:style w:type="character" w:styleId="FootnoteReference">
    <w:name w:val="footnote reference"/>
    <w:rsid w:val="008721DF"/>
    <w:rPr>
      <w:vertAlign w:val="superscript"/>
    </w:rPr>
  </w:style>
  <w:style w:type="character" w:customStyle="1" w:styleId="NormalWebChar">
    <w:name w:val="Normal (Web) Char"/>
    <w:link w:val="NormalWeb"/>
    <w:uiPriority w:val="99"/>
    <w:locked/>
    <w:rsid w:val="008721DF"/>
    <w:rPr>
      <w:sz w:val="24"/>
      <w:szCs w:val="24"/>
      <w:lang w:val="vi-VN" w:eastAsia="vi-VN"/>
    </w:rPr>
  </w:style>
  <w:style w:type="paragraph" w:styleId="BalloonText">
    <w:name w:val="Balloon Text"/>
    <w:basedOn w:val="Normal"/>
    <w:link w:val="BalloonTextChar"/>
    <w:rsid w:val="00E0529D"/>
    <w:rPr>
      <w:rFonts w:ascii="Tahoma" w:hAnsi="Tahoma"/>
      <w:sz w:val="16"/>
      <w:szCs w:val="16"/>
    </w:rPr>
  </w:style>
  <w:style w:type="character" w:customStyle="1" w:styleId="BalloonTextChar">
    <w:name w:val="Balloon Text Char"/>
    <w:link w:val="BalloonText"/>
    <w:rsid w:val="00E0529D"/>
    <w:rPr>
      <w:rFonts w:ascii="Tahoma" w:hAnsi="Tahoma" w:cs="Tahoma"/>
      <w:sz w:val="16"/>
      <w:szCs w:val="16"/>
    </w:rPr>
  </w:style>
  <w:style w:type="paragraph" w:styleId="BodyText2">
    <w:name w:val="Body Text 2"/>
    <w:basedOn w:val="Normal"/>
    <w:link w:val="BodyText2Char"/>
    <w:uiPriority w:val="99"/>
    <w:semiHidden/>
    <w:unhideWhenUsed/>
    <w:rsid w:val="002C78AF"/>
    <w:pPr>
      <w:spacing w:after="120" w:line="480" w:lineRule="auto"/>
    </w:pPr>
  </w:style>
  <w:style w:type="character" w:customStyle="1" w:styleId="BodyText2Char">
    <w:name w:val="Body Text 2 Char"/>
    <w:basedOn w:val="DefaultParagraphFont"/>
    <w:link w:val="BodyText2"/>
    <w:uiPriority w:val="99"/>
    <w:semiHidden/>
    <w:rsid w:val="002C78A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949A4-5543-46CE-BFB0-9C6B4E210B49}">
  <ds:schemaRefs>
    <ds:schemaRef ds:uri="http://schemas.openxmlformats.org/officeDocument/2006/bibliography"/>
  </ds:schemaRefs>
</ds:datastoreItem>
</file>

<file path=customXml/itemProps2.xml><?xml version="1.0" encoding="utf-8"?>
<ds:datastoreItem xmlns:ds="http://schemas.openxmlformats.org/officeDocument/2006/customXml" ds:itemID="{708AA8A4-83D7-4596-AB7B-93DBC93A0E0B}"/>
</file>

<file path=customXml/itemProps3.xml><?xml version="1.0" encoding="utf-8"?>
<ds:datastoreItem xmlns:ds="http://schemas.openxmlformats.org/officeDocument/2006/customXml" ds:itemID="{71763050-B068-469A-BC67-3D8390259B01}"/>
</file>

<file path=customXml/itemProps4.xml><?xml version="1.0" encoding="utf-8"?>
<ds:datastoreItem xmlns:ds="http://schemas.openxmlformats.org/officeDocument/2006/customXml" ds:itemID="{4B078264-2A95-446D-BBB2-847234454D7F}"/>
</file>

<file path=docProps/app.xml><?xml version="1.0" encoding="utf-8"?>
<Properties xmlns="http://schemas.openxmlformats.org/officeDocument/2006/extended-properties" xmlns:vt="http://schemas.openxmlformats.org/officeDocument/2006/docPropsVTypes">
  <Template>Normal</Template>
  <TotalTime>1</TotalTime>
  <Pages>11</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nhnn</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kho quy</dc:creator>
  <cp:lastModifiedBy>Trinh Viet Ha (PC)</cp:lastModifiedBy>
  <cp:revision>2</cp:revision>
  <cp:lastPrinted>2023-07-11T02:48:00Z</cp:lastPrinted>
  <dcterms:created xsi:type="dcterms:W3CDTF">2023-12-28T09:09:00Z</dcterms:created>
  <dcterms:modified xsi:type="dcterms:W3CDTF">2023-12-28T09:09:00Z</dcterms:modified>
</cp:coreProperties>
</file>