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B9" w:rsidRDefault="00666FB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06" w:type="dxa"/>
        <w:tblLayout w:type="fixed"/>
        <w:tblLook w:val="0000" w:firstRow="0" w:lastRow="0" w:firstColumn="0" w:lastColumn="0" w:noHBand="0" w:noVBand="0"/>
      </w:tblPr>
      <w:tblGrid>
        <w:gridCol w:w="3078"/>
        <w:gridCol w:w="5928"/>
      </w:tblGrid>
      <w:tr w:rsidR="00666FB9">
        <w:tc>
          <w:tcPr>
            <w:tcW w:w="3078" w:type="dxa"/>
          </w:tcPr>
          <w:p w:rsidR="00666FB9" w:rsidRDefault="00E65C9A">
            <w:pPr>
              <w:pStyle w:val="Heading1"/>
              <w:spacing w:before="120"/>
            </w:pPr>
            <w:r>
              <w:t>ỦY BAN NHÂN DÂN</w:t>
            </w:r>
          </w:p>
          <w:p w:rsidR="00666FB9" w:rsidRDefault="00E65C9A">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TỈNH AN GIANG</w:t>
            </w:r>
          </w:p>
          <w:bookmarkStart w:id="0" w:name="_GoBack"/>
          <w:bookmarkEnd w:id="0"/>
          <w:p w:rsidR="00666FB9" w:rsidRDefault="00E65C9A">
            <w:pPr>
              <w:jc w:val="center"/>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569594</wp:posOffset>
                      </wp:positionH>
                      <wp:positionV relativeFrom="paragraph">
                        <wp:posOffset>62230</wp:posOffset>
                      </wp:positionV>
                      <wp:extent cx="5715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noFill/>
                              <a:ln w="9525" cap="flat" cmpd="sng" algn="ctr">
                                <a:solidFill>
                                  <a:srgbClr val="000000"/>
                                </a:solidFill>
                                <a:miter lim="800000"/>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569594</wp:posOffset>
                      </wp:positionH>
                      <wp:positionV relativeFrom="paragraph">
                        <wp:posOffset>62230</wp:posOffset>
                      </wp:positionV>
                      <wp:extent cx="571500" cy="9526"/>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1500" cy="9526"/>
                              </a:xfrm>
                              <a:prstGeom prst="rect"/>
                              <a:ln/>
                            </pic:spPr>
                          </pic:pic>
                        </a:graphicData>
                      </a:graphic>
                    </wp:anchor>
                  </w:drawing>
                </mc:Fallback>
              </mc:AlternateContent>
            </w:r>
          </w:p>
          <w:p w:rsidR="00666FB9" w:rsidRDefault="00E65C9A">
            <w:pPr>
              <w:pStyle w:val="Heading2"/>
              <w:rPr>
                <w:rFonts w:ascii="Times New Roman" w:eastAsia="Times New Roman" w:hAnsi="Times New Roman" w:cs="Times New Roman"/>
                <w:i w:val="0"/>
              </w:rPr>
            </w:pPr>
            <w:r>
              <w:rPr>
                <w:rFonts w:ascii="Times New Roman" w:eastAsia="Times New Roman" w:hAnsi="Times New Roman" w:cs="Times New Roman"/>
                <w:i w:val="0"/>
              </w:rPr>
              <w:t>Số:  53 /2020/QĐ-UBND</w:t>
            </w:r>
          </w:p>
        </w:tc>
        <w:tc>
          <w:tcPr>
            <w:tcW w:w="5928" w:type="dxa"/>
          </w:tcPr>
          <w:p w:rsidR="00666FB9" w:rsidRDefault="00E65C9A">
            <w:pPr>
              <w:keepNext/>
              <w:spacing w:before="120"/>
              <w:jc w:val="center"/>
              <w:rPr>
                <w:rFonts w:ascii="Times New Roman" w:eastAsia="Times New Roman" w:hAnsi="Times New Roman" w:cs="Times New Roman"/>
              </w:rPr>
            </w:pPr>
            <w:r>
              <w:rPr>
                <w:rFonts w:ascii="Times New Roman" w:eastAsia="Times New Roman" w:hAnsi="Times New Roman" w:cs="Times New Roman"/>
                <w:b/>
                <w:sz w:val="26"/>
                <w:szCs w:val="26"/>
              </w:rPr>
              <w:t xml:space="preserve">CỘNG HÒA XÃ HỘI CHỦ NGHĨA VIỆT NAM   </w:t>
            </w:r>
            <w:r>
              <w:rPr>
                <w:rFonts w:ascii="Times New Roman" w:eastAsia="Times New Roman" w:hAnsi="Times New Roman" w:cs="Times New Roman"/>
                <w:sz w:val="26"/>
                <w:szCs w:val="26"/>
              </w:rPr>
              <w:t xml:space="preserve">               </w:t>
            </w:r>
            <w:r>
              <w:rPr>
                <w:rFonts w:ascii="Times New Roman" w:eastAsia="Times New Roman" w:hAnsi="Times New Roman" w:cs="Times New Roman"/>
                <w:b/>
              </w:rPr>
              <w:t>Độc lập - Tự do - Hạnh phúc</w:t>
            </w:r>
          </w:p>
          <w:p w:rsidR="00666FB9" w:rsidRDefault="00E65C9A">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i/>
              </w:rPr>
              <w:t xml:space="preserve">                       </w:t>
            </w:r>
            <w:r>
              <w:rPr>
                <w:noProof/>
              </w:rPr>
              <mc:AlternateContent>
                <mc:Choice Requires="wps">
                  <w:drawing>
                    <wp:anchor distT="0" distB="0" distL="114300" distR="114300" simplePos="0" relativeHeight="251659264" behindDoc="0" locked="0" layoutInCell="1" hidden="0" allowOverlap="1">
                      <wp:simplePos x="0" y="0"/>
                      <wp:positionH relativeFrom="column">
                        <wp:posOffset>750570</wp:posOffset>
                      </wp:positionH>
                      <wp:positionV relativeFrom="paragraph">
                        <wp:posOffset>71120</wp:posOffset>
                      </wp:positionV>
                      <wp:extent cx="211455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rgbClr val="000000"/>
                                </a:solidFill>
                                <a:miter lim="800000"/>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750570</wp:posOffset>
                      </wp:positionH>
                      <wp:positionV relativeFrom="paragraph">
                        <wp:posOffset>71120</wp:posOffset>
                      </wp:positionV>
                      <wp:extent cx="2114550" cy="9526"/>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114550" cy="9526"/>
                              </a:xfrm>
                              <a:prstGeom prst="rect"/>
                              <a:ln/>
                            </pic:spPr>
                          </pic:pic>
                        </a:graphicData>
                      </a:graphic>
                    </wp:anchor>
                  </w:drawing>
                </mc:Fallback>
              </mc:AlternateContent>
            </w:r>
          </w:p>
          <w:p w:rsidR="00666FB9" w:rsidRDefault="00E65C9A">
            <w:pPr>
              <w:jc w:val="center"/>
              <w:rPr>
                <w:rFonts w:ascii="Times New Roman" w:eastAsia="Times New Roman" w:hAnsi="Times New Roman" w:cs="Times New Roman"/>
                <w:sz w:val="26"/>
                <w:szCs w:val="26"/>
              </w:rPr>
            </w:pPr>
            <w:r>
              <w:rPr>
                <w:rFonts w:ascii="Times New Roman" w:eastAsia="Times New Roman" w:hAnsi="Times New Roman" w:cs="Times New Roman"/>
                <w:i/>
              </w:rPr>
              <w:t>An Giang, ngày 13 tháng 11 năm 2020</w:t>
            </w:r>
          </w:p>
        </w:tc>
      </w:tr>
    </w:tbl>
    <w:p w:rsidR="00666FB9" w:rsidRDefault="00666FB9">
      <w:pPr>
        <w:tabs>
          <w:tab w:val="center" w:pos="1200"/>
          <w:tab w:val="center" w:pos="6840"/>
        </w:tabs>
        <w:ind w:right="14"/>
        <w:jc w:val="center"/>
        <w:rPr>
          <w:rFonts w:ascii="Times New Roman" w:eastAsia="Times New Roman" w:hAnsi="Times New Roman" w:cs="Times New Roman"/>
        </w:rPr>
      </w:pPr>
    </w:p>
    <w:p w:rsidR="00666FB9" w:rsidRDefault="00E65C9A">
      <w:pPr>
        <w:tabs>
          <w:tab w:val="center" w:pos="1200"/>
          <w:tab w:val="center" w:pos="6840"/>
        </w:tabs>
        <w:ind w:right="14"/>
        <w:jc w:val="center"/>
        <w:rPr>
          <w:rFonts w:ascii="Times New Roman" w:eastAsia="Times New Roman" w:hAnsi="Times New Roman" w:cs="Times New Roman"/>
        </w:rPr>
      </w:pPr>
      <w:r>
        <w:rPr>
          <w:rFonts w:ascii="Times New Roman" w:eastAsia="Times New Roman" w:hAnsi="Times New Roman" w:cs="Times New Roman"/>
          <w:b/>
        </w:rPr>
        <w:t>QUYẾT ĐỊNH</w:t>
      </w:r>
    </w:p>
    <w:p w:rsidR="00666FB9" w:rsidRDefault="00E65C9A">
      <w:pPr>
        <w:tabs>
          <w:tab w:val="center" w:pos="1200"/>
          <w:tab w:val="center" w:pos="6840"/>
        </w:tabs>
        <w:ind w:right="11"/>
        <w:jc w:val="center"/>
        <w:rPr>
          <w:rFonts w:ascii="Times New Roman" w:eastAsia="Times New Roman" w:hAnsi="Times New Roman" w:cs="Times New Roman"/>
        </w:rPr>
      </w:pPr>
      <w:r>
        <w:rPr>
          <w:rFonts w:ascii="Times New Roman" w:eastAsia="Times New Roman" w:hAnsi="Times New Roman" w:cs="Times New Roman"/>
          <w:b/>
        </w:rPr>
        <w:t xml:space="preserve">Sửa đổi, bổ sung một số điều của Quy định quản lý và bảo vệ kết cấu hạ tầng giao thông đường bộ đối với đường địa phương trên địa bàn tỉnh An Giang ban hành kèm theo Quyết định số 51/2018/QĐ-UBND </w:t>
      </w:r>
    </w:p>
    <w:p w:rsidR="00666FB9" w:rsidRDefault="00E65C9A">
      <w:pPr>
        <w:tabs>
          <w:tab w:val="center" w:pos="-3306"/>
        </w:tabs>
        <w:spacing w:after="120"/>
        <w:ind w:right="11" w:hanging="57"/>
        <w:jc w:val="center"/>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2282190</wp:posOffset>
                </wp:positionH>
                <wp:positionV relativeFrom="paragraph">
                  <wp:posOffset>73660</wp:posOffset>
                </wp:positionV>
                <wp:extent cx="12001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1200150" cy="0"/>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2282190</wp:posOffset>
                </wp:positionH>
                <wp:positionV relativeFrom="paragraph">
                  <wp:posOffset>73660</wp:posOffset>
                </wp:positionV>
                <wp:extent cx="1200150" cy="12700"/>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00150" cy="12700"/>
                        </a:xfrm>
                        <a:prstGeom prst="rect"/>
                        <a:ln/>
                      </pic:spPr>
                    </pic:pic>
                  </a:graphicData>
                </a:graphic>
              </wp:anchor>
            </w:drawing>
          </mc:Fallback>
        </mc:AlternateContent>
      </w:r>
    </w:p>
    <w:p w:rsidR="00666FB9" w:rsidRDefault="00E65C9A">
      <w:pPr>
        <w:tabs>
          <w:tab w:val="center" w:pos="-3306"/>
        </w:tabs>
        <w:spacing w:before="240" w:after="240"/>
        <w:ind w:right="14" w:hanging="58"/>
        <w:jc w:val="center"/>
        <w:rPr>
          <w:rFonts w:ascii="Times New Roman" w:eastAsia="Times New Roman" w:hAnsi="Times New Roman" w:cs="Times New Roman"/>
        </w:rPr>
      </w:pPr>
      <w:r>
        <w:rPr>
          <w:rFonts w:ascii="Times New Roman" w:eastAsia="Times New Roman" w:hAnsi="Times New Roman" w:cs="Times New Roman"/>
          <w:b/>
        </w:rPr>
        <w:t>ỦY BAN NHÂN DÂN TỈNH AN GIANG</w:t>
      </w:r>
    </w:p>
    <w:p w:rsidR="00666FB9" w:rsidRDefault="00E65C9A">
      <w:pPr>
        <w:pBdr>
          <w:top w:val="nil"/>
          <w:left w:val="nil"/>
          <w:bottom w:val="nil"/>
          <w:right w:val="nil"/>
          <w:between w:val="nil"/>
        </w:pBdr>
        <w:spacing w:before="120" w:after="120"/>
        <w:ind w:right="43" w:firstLine="576"/>
        <w:jc w:val="both"/>
        <w:rPr>
          <w:rFonts w:ascii="Times New Roman" w:eastAsia="Times New Roman" w:hAnsi="Times New Roman" w:cs="Times New Roman"/>
          <w:color w:val="000000"/>
        </w:rPr>
      </w:pPr>
      <w:r>
        <w:rPr>
          <w:rFonts w:ascii="Times New Roman" w:eastAsia="Times New Roman" w:hAnsi="Times New Roman" w:cs="Times New Roman"/>
          <w:i/>
          <w:color w:val="000000"/>
        </w:rPr>
        <w:t>Căn cứ Luật Tổ chức chính q</w:t>
      </w:r>
      <w:r>
        <w:rPr>
          <w:rFonts w:ascii="Times New Roman" w:eastAsia="Times New Roman" w:hAnsi="Times New Roman" w:cs="Times New Roman"/>
          <w:i/>
          <w:color w:val="000000"/>
        </w:rPr>
        <w:t>uyền địa phương ngày 19 tháng 6 năm 2015; Luật Sửa đổi, bổ sung một số điều của Luật Tổ chức Chính phủ và Luật Tổ chức chính quyền địa phương ngày 22 tháng 11 năm 2019;</w:t>
      </w:r>
    </w:p>
    <w:p w:rsidR="00666FB9" w:rsidRDefault="00E65C9A">
      <w:pPr>
        <w:pBdr>
          <w:top w:val="nil"/>
          <w:left w:val="nil"/>
          <w:bottom w:val="nil"/>
          <w:right w:val="nil"/>
          <w:between w:val="nil"/>
        </w:pBdr>
        <w:spacing w:before="120" w:after="120"/>
        <w:ind w:right="43" w:firstLine="576"/>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Căn cứ Luật Ban hành văn bản quy phạm pháp luật ngày 22 tháng 6 năm 2015; </w:t>
      </w:r>
    </w:p>
    <w:p w:rsidR="00666FB9" w:rsidRDefault="00E65C9A">
      <w:pPr>
        <w:pBdr>
          <w:top w:val="nil"/>
          <w:left w:val="nil"/>
          <w:bottom w:val="nil"/>
          <w:right w:val="nil"/>
          <w:between w:val="nil"/>
        </w:pBdr>
        <w:spacing w:before="120" w:after="120"/>
        <w:ind w:right="43" w:firstLine="576"/>
        <w:jc w:val="both"/>
        <w:rPr>
          <w:rFonts w:ascii="Times New Roman" w:eastAsia="Times New Roman" w:hAnsi="Times New Roman" w:cs="Times New Roman"/>
          <w:color w:val="000000"/>
        </w:rPr>
      </w:pPr>
      <w:r>
        <w:rPr>
          <w:rFonts w:ascii="Times New Roman" w:eastAsia="Times New Roman" w:hAnsi="Times New Roman" w:cs="Times New Roman"/>
          <w:i/>
          <w:color w:val="000000"/>
        </w:rPr>
        <w:t>Căn cứ Luật Giao thông đường bộ ngày 13 tháng 11 năm 2008;</w:t>
      </w:r>
    </w:p>
    <w:p w:rsidR="00666FB9" w:rsidRDefault="00E65C9A">
      <w:pPr>
        <w:widowControl w:val="0"/>
        <w:spacing w:before="120" w:after="120"/>
        <w:ind w:right="43" w:firstLine="576"/>
        <w:jc w:val="both"/>
        <w:rPr>
          <w:rFonts w:ascii="Times New Roman" w:eastAsia="Times New Roman" w:hAnsi="Times New Roman" w:cs="Times New Roman"/>
          <w:color w:val="000000"/>
        </w:rPr>
      </w:pPr>
      <w:r>
        <w:rPr>
          <w:rFonts w:ascii="Times New Roman" w:eastAsia="Times New Roman" w:hAnsi="Times New Roman" w:cs="Times New Roman"/>
          <w:i/>
          <w:color w:val="000000"/>
        </w:rPr>
        <w:t>Căn cứ Thông tư số 50/2015/TT-BGTVT ngày 23 tháng 9 năm 2015 của Bộ trưởng Bộ Giao thông vận tải hướng dẫn thực hiện một số điều của Nghị định số 11/2010/NĐ-CP ngày 24 tháng 02 năm 2010 của Chính p</w:t>
      </w:r>
      <w:r>
        <w:rPr>
          <w:rFonts w:ascii="Times New Roman" w:eastAsia="Times New Roman" w:hAnsi="Times New Roman" w:cs="Times New Roman"/>
          <w:i/>
          <w:color w:val="000000"/>
        </w:rPr>
        <w:t>hủ quy định về quản lý và bảo vệ kết cấu hạ tầng giao thông đường bộ;</w:t>
      </w:r>
    </w:p>
    <w:p w:rsidR="00666FB9" w:rsidRDefault="00E65C9A">
      <w:pPr>
        <w:widowControl w:val="0"/>
        <w:spacing w:before="120" w:after="120"/>
        <w:ind w:right="43" w:firstLine="576"/>
        <w:jc w:val="both"/>
        <w:rPr>
          <w:rFonts w:ascii="Times New Roman" w:eastAsia="Times New Roman" w:hAnsi="Times New Roman" w:cs="Times New Roman"/>
          <w:color w:val="000000"/>
        </w:rPr>
      </w:pPr>
      <w:r>
        <w:rPr>
          <w:rFonts w:ascii="Times New Roman" w:eastAsia="Times New Roman" w:hAnsi="Times New Roman" w:cs="Times New Roman"/>
          <w:i/>
          <w:color w:val="000000"/>
        </w:rPr>
        <w:t>Căn cứ Thông tư số 35/2017/TT-BGTVT ngày 09 tháng 10 năm 2017 của Bộ Giao thông vận tải sửa đổi, bổ sung một số điều của Thông tư số 50/2015/TT-BGTVT ngày 23 tháng 9 của Bộ Giao thông vậ</w:t>
      </w:r>
      <w:r>
        <w:rPr>
          <w:rFonts w:ascii="Times New Roman" w:eastAsia="Times New Roman" w:hAnsi="Times New Roman" w:cs="Times New Roman"/>
          <w:i/>
          <w:color w:val="000000"/>
        </w:rPr>
        <w:t>n tải hướng dẫn thực hiện một số điều của Nghị định số 11/2010/NĐ-CP ngày 24 tháng 02 năm 2010 của Chính phủ quy định về quản lý và bảo vệ kết cấu hạ tầng giao thông đường bộ;</w:t>
      </w:r>
    </w:p>
    <w:p w:rsidR="00666FB9" w:rsidRDefault="00E65C9A">
      <w:pPr>
        <w:widowControl w:val="0"/>
        <w:spacing w:before="120" w:after="120"/>
        <w:ind w:right="43" w:firstLine="576"/>
        <w:jc w:val="both"/>
        <w:rPr>
          <w:rFonts w:ascii="Times New Roman" w:eastAsia="Times New Roman" w:hAnsi="Times New Roman" w:cs="Times New Roman"/>
        </w:rPr>
      </w:pPr>
      <w:r>
        <w:rPr>
          <w:rFonts w:ascii="Times New Roman" w:eastAsia="Times New Roman" w:hAnsi="Times New Roman" w:cs="Times New Roman"/>
          <w:i/>
          <w:highlight w:val="white"/>
        </w:rPr>
        <w:t>Căn cứ Thông tư số 13/2020/TT-BGTVT ngày 29 tháng 6 năm 2020 sửa đổi, bổ sung mộ</w:t>
      </w:r>
      <w:r>
        <w:rPr>
          <w:rFonts w:ascii="Times New Roman" w:eastAsia="Times New Roman" w:hAnsi="Times New Roman" w:cs="Times New Roman"/>
          <w:i/>
          <w:highlight w:val="white"/>
        </w:rPr>
        <w:t>t số điều của Thông tư số </w:t>
      </w:r>
      <w:hyperlink r:id="rId11">
        <w:r>
          <w:rPr>
            <w:rFonts w:ascii="Times New Roman" w:eastAsia="Times New Roman" w:hAnsi="Times New Roman" w:cs="Times New Roman"/>
            <w:i/>
            <w:color w:val="000000"/>
          </w:rPr>
          <w:t>50/2015/TT-BGTVT</w:t>
        </w:r>
      </w:hyperlink>
      <w:r>
        <w:rPr>
          <w:rFonts w:ascii="Times New Roman" w:eastAsia="Times New Roman" w:hAnsi="Times New Roman" w:cs="Times New Roman"/>
          <w:i/>
          <w:highlight w:val="white"/>
        </w:rPr>
        <w:t xml:space="preserve"> ngày 23 tháng 9 năm 2015 của Bộ trưởng Bộ Giao thông vận </w:t>
      </w:r>
      <w:r>
        <w:rPr>
          <w:rFonts w:ascii="Times New Roman" w:eastAsia="Times New Roman" w:hAnsi="Times New Roman" w:cs="Times New Roman"/>
          <w:i/>
          <w:highlight w:val="white"/>
        </w:rPr>
        <w:t>tải hướng dẫn thực hiện một số điều của Nghị định số </w:t>
      </w:r>
      <w:hyperlink r:id="rId12">
        <w:r>
          <w:rPr>
            <w:rFonts w:ascii="Times New Roman" w:eastAsia="Times New Roman" w:hAnsi="Times New Roman" w:cs="Times New Roman"/>
            <w:i/>
            <w:color w:val="000000"/>
          </w:rPr>
          <w:t>11/2010/NĐ-CP</w:t>
        </w:r>
      </w:hyperlink>
      <w:r>
        <w:rPr>
          <w:rFonts w:ascii="Times New Roman" w:eastAsia="Times New Roman" w:hAnsi="Times New Roman" w:cs="Times New Roman"/>
          <w:i/>
          <w:highlight w:val="white"/>
        </w:rPr>
        <w:t xml:space="preserve"> ngày 24 tháng 02 năm 2010 của Chính phủ quy định về quản lý </w:t>
      </w:r>
      <w:r>
        <w:rPr>
          <w:rFonts w:ascii="Times New Roman" w:eastAsia="Times New Roman" w:hAnsi="Times New Roman" w:cs="Times New Roman"/>
          <w:i/>
          <w:highlight w:val="white"/>
        </w:rPr>
        <w:t>và bảo vệ kết cấu hạ tầng giao thông đường bộ và Thông tư số 35/2017/TT-BGTVT ngày 09 tháng 10 năm 2017 của Bộ trưởng Bộ Giao thông vận tải sửa đổi, bổ sung một số điều của Thông tư số </w:t>
      </w:r>
      <w:hyperlink r:id="rId13">
        <w:r>
          <w:rPr>
            <w:rFonts w:ascii="Times New Roman" w:eastAsia="Times New Roman" w:hAnsi="Times New Roman" w:cs="Times New Roman"/>
            <w:i/>
            <w:color w:val="000000"/>
          </w:rPr>
          <w:t>50/2015/TT-BGTVT</w:t>
        </w:r>
      </w:hyperlink>
      <w:r>
        <w:rPr>
          <w:rFonts w:ascii="Times New Roman" w:eastAsia="Times New Roman" w:hAnsi="Times New Roman" w:cs="Times New Roman"/>
          <w:i/>
          <w:highlight w:val="white"/>
        </w:rPr>
        <w:t xml:space="preserve"> ngày 23 tháng 9 năm 2015 của Bộ trưởng Bộ Giao thông vận tải hướng dẫn thực hiện một số điều của Nghị định số 11/2010/NĐ-CP ngày 23 tháng 02 năm 2010 của </w:t>
      </w:r>
      <w:r>
        <w:rPr>
          <w:rFonts w:ascii="Times New Roman" w:eastAsia="Times New Roman" w:hAnsi="Times New Roman" w:cs="Times New Roman"/>
          <w:i/>
          <w:highlight w:val="white"/>
        </w:rPr>
        <w:t>Chính phủ quy định về quản lý và bảo vệ kết cấu hạ tầng giao thông đường bộ;</w:t>
      </w:r>
    </w:p>
    <w:p w:rsidR="00666FB9" w:rsidRDefault="00E65C9A">
      <w:pPr>
        <w:widowControl w:val="0"/>
        <w:spacing w:before="120" w:after="120"/>
        <w:ind w:right="43" w:firstLine="576"/>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lastRenderedPageBreak/>
        <w:t>Theo đề nghị của Giám đốc Sở Giao thông vận tải tại Tờ trình số 1999/TTr-SGTVT ngày 30 tháng 10 năm 2020.</w:t>
      </w:r>
    </w:p>
    <w:p w:rsidR="00666FB9" w:rsidRDefault="00E65C9A">
      <w:pPr>
        <w:pStyle w:val="Heading3"/>
        <w:spacing w:after="120"/>
        <w:ind w:right="11" w:hanging="57"/>
        <w:rPr>
          <w:rFonts w:ascii="Times New Roman" w:eastAsia="Times New Roman" w:hAnsi="Times New Roman" w:cs="Times New Roman"/>
        </w:rPr>
      </w:pPr>
      <w:r>
        <w:rPr>
          <w:rFonts w:ascii="Times New Roman" w:eastAsia="Times New Roman" w:hAnsi="Times New Roman" w:cs="Times New Roman"/>
        </w:rPr>
        <w:t>QUYẾT ĐỊNH:</w:t>
      </w:r>
    </w:p>
    <w:p w:rsidR="00666FB9" w:rsidRDefault="00E65C9A">
      <w:pPr>
        <w:pBdr>
          <w:top w:val="nil"/>
          <w:left w:val="nil"/>
          <w:bottom w:val="nil"/>
          <w:right w:val="nil"/>
          <w:between w:val="nil"/>
        </w:pBdr>
        <w:spacing w:before="80" w:after="80"/>
        <w:ind w:right="39" w:firstLine="573"/>
        <w:jc w:val="both"/>
        <w:rPr>
          <w:rFonts w:ascii="Times New Roman" w:eastAsia="Times New Roman" w:hAnsi="Times New Roman" w:cs="Times New Roman"/>
          <w:color w:val="000000"/>
        </w:rPr>
      </w:pPr>
      <w:r>
        <w:rPr>
          <w:rFonts w:ascii="Times New Roman" w:eastAsia="Times New Roman" w:hAnsi="Times New Roman" w:cs="Times New Roman"/>
          <w:b/>
          <w:color w:val="000000"/>
        </w:rPr>
        <w:t>Điều 1. Sửa đổi, bổ sung một số điều của Quy định quản lý và bảo vệ kết cấu hạ tầng giao thông đường bộ đối với đường địa phương trên địa bàn tỉnh An Giang ban hành kèm theo Quyết định số 51/2018/QĐ-UBND ngày 06/12/2018 của Ủy ban nhân dân tỉnh An Giang, n</w:t>
      </w:r>
      <w:r>
        <w:rPr>
          <w:rFonts w:ascii="Times New Roman" w:eastAsia="Times New Roman" w:hAnsi="Times New Roman" w:cs="Times New Roman"/>
          <w:b/>
          <w:color w:val="000000"/>
        </w:rPr>
        <w:t>hư sau:</w:t>
      </w:r>
    </w:p>
    <w:p w:rsidR="00666FB9" w:rsidRDefault="00E65C9A">
      <w:pPr>
        <w:numPr>
          <w:ilvl w:val="0"/>
          <w:numId w:val="1"/>
        </w:numPr>
        <w:pBdr>
          <w:top w:val="nil"/>
          <w:left w:val="nil"/>
          <w:bottom w:val="nil"/>
          <w:right w:val="nil"/>
          <w:between w:val="nil"/>
        </w:pBdr>
        <w:tabs>
          <w:tab w:val="left" w:pos="851"/>
        </w:tabs>
        <w:spacing w:before="80" w:after="80"/>
        <w:ind w:left="0" w:right="39" w:firstLine="573"/>
        <w:jc w:val="both"/>
        <w:rPr>
          <w:rFonts w:ascii="Times New Roman" w:eastAsia="Times New Roman" w:hAnsi="Times New Roman" w:cs="Times New Roman"/>
        </w:rPr>
      </w:pPr>
      <w:r>
        <w:rPr>
          <w:rFonts w:ascii="Times New Roman" w:eastAsia="Times New Roman" w:hAnsi="Times New Roman" w:cs="Times New Roman"/>
          <w:color w:val="000000"/>
        </w:rPr>
        <w:t>Sửa đổi Điểm b, d Khoản 3 Điều 7 như sau:</w:t>
      </w:r>
    </w:p>
    <w:p w:rsidR="00666FB9" w:rsidRDefault="00E65C9A">
      <w:pPr>
        <w:pBdr>
          <w:top w:val="nil"/>
          <w:left w:val="nil"/>
          <w:bottom w:val="nil"/>
          <w:right w:val="nil"/>
          <w:between w:val="nil"/>
        </w:pBdr>
        <w:tabs>
          <w:tab w:val="left" w:pos="851"/>
        </w:tabs>
        <w:spacing w:after="120"/>
        <w:ind w:right="39"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b/>
          <w:color w:val="000000"/>
        </w:rPr>
        <w:t>Điều 7. Phạm vi đất dành cho đường bộ của các tuyến đường tỉnh trên địa bàn tỉnh An Giang</w:t>
      </w:r>
      <w:r>
        <w:rPr>
          <w:rFonts w:ascii="Times New Roman" w:eastAsia="Times New Roman" w:hAnsi="Times New Roman" w:cs="Times New Roman"/>
          <w:color w:val="000000"/>
        </w:rPr>
        <w:t>.</w:t>
      </w:r>
    </w:p>
    <w:p w:rsidR="00666FB9" w:rsidRDefault="00E65C9A">
      <w:pPr>
        <w:pBdr>
          <w:top w:val="nil"/>
          <w:left w:val="nil"/>
          <w:bottom w:val="nil"/>
          <w:right w:val="nil"/>
          <w:between w:val="nil"/>
        </w:pBdr>
        <w:tabs>
          <w:tab w:val="left" w:pos="851"/>
        </w:tabs>
        <w:spacing w:after="120"/>
        <w:ind w:right="39"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Phạm vi đất dành cho đường bộ của các tuyến đường tỉnh trên địa bàn tỉnh An Giang được quy định như sau:</w:t>
      </w:r>
    </w:p>
    <w:p w:rsidR="00666FB9" w:rsidRDefault="00E65C9A">
      <w:pPr>
        <w:pBdr>
          <w:top w:val="nil"/>
          <w:left w:val="nil"/>
          <w:bottom w:val="nil"/>
          <w:right w:val="nil"/>
          <w:between w:val="nil"/>
        </w:pBdr>
        <w:tabs>
          <w:tab w:val="left" w:pos="851"/>
        </w:tabs>
        <w:spacing w:after="120"/>
        <w:ind w:right="39"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3. Đường tỉnh 943:</w:t>
      </w:r>
    </w:p>
    <w:p w:rsidR="00666FB9" w:rsidRDefault="00E65C9A">
      <w:pPr>
        <w:spacing w:before="120" w:after="120"/>
        <w:ind w:right="39"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b) Đoạn từ giao lộ Đường tránh thành phố Long Xuyên đến cầu Phú Hòa, phạm vi đất dành cho đường bộ xác định theo đồ án Quy hoạch xây dựng thành phố Long Xuyên và thị trấn Phú Hòa được cơ quan có thẩm quyền phê duyệt.</w:t>
      </w:r>
    </w:p>
    <w:p w:rsidR="00666FB9" w:rsidRDefault="00E65C9A">
      <w:pPr>
        <w:tabs>
          <w:tab w:val="left" w:pos="993"/>
        </w:tabs>
        <w:spacing w:before="80" w:after="80"/>
        <w:ind w:right="39"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d) Đoạn từ Cầu Mương</w:t>
      </w:r>
      <w:r>
        <w:rPr>
          <w:rFonts w:ascii="Times New Roman" w:eastAsia="Times New Roman" w:hAnsi="Times New Roman" w:cs="Times New Roman"/>
          <w:color w:val="000000"/>
        </w:rPr>
        <w:t xml:space="preserve"> Trâu đến Cầu Kênh F, phạm vi đất dành cho đường bộ là 34 mét; mỗi bên 17 mét tính từ tim đường hiện hữu”.</w:t>
      </w:r>
    </w:p>
    <w:p w:rsidR="00666FB9" w:rsidRDefault="00E65C9A">
      <w:pPr>
        <w:numPr>
          <w:ilvl w:val="0"/>
          <w:numId w:val="1"/>
        </w:numPr>
        <w:tabs>
          <w:tab w:val="left" w:pos="851"/>
        </w:tabs>
        <w:spacing w:before="80" w:after="80"/>
        <w:ind w:left="0" w:right="39" w:firstLine="573"/>
        <w:jc w:val="both"/>
        <w:rPr>
          <w:rFonts w:ascii="Times New Roman" w:eastAsia="Times New Roman" w:hAnsi="Times New Roman" w:cs="Times New Roman"/>
        </w:rPr>
      </w:pPr>
      <w:r>
        <w:rPr>
          <w:rFonts w:ascii="Times New Roman" w:eastAsia="Times New Roman" w:hAnsi="Times New Roman" w:cs="Times New Roman"/>
          <w:color w:val="000000"/>
        </w:rPr>
        <w:t xml:space="preserve"> Sửa đổi khoản 16 Điều 7 như sau:</w:t>
      </w:r>
    </w:p>
    <w:p w:rsidR="00666FB9" w:rsidRDefault="00E65C9A">
      <w:pPr>
        <w:tabs>
          <w:tab w:val="left" w:pos="851"/>
        </w:tabs>
        <w:spacing w:before="80" w:after="80"/>
        <w:ind w:right="39" w:firstLine="57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“16. Đường tỉnh 957: Từ xã Đa Phước đến thị trấn Long Bình dài 33 km, phạm vi đất dành cho đường bộ là 29 mét; mỗi </w:t>
      </w:r>
      <w:r>
        <w:rPr>
          <w:rFonts w:ascii="Times New Roman" w:eastAsia="Times New Roman" w:hAnsi="Times New Roman" w:cs="Times New Roman"/>
          <w:color w:val="000000"/>
        </w:rPr>
        <w:t>bên 14,5 mét tính từ tim đường hiện hữu. Riêng đoạn đi qua thị trấn Long Bình thì áp dụng theo quy hoạch chung xây dựng thị trấn Long Bình được phê duyệt.</w:t>
      </w:r>
    </w:p>
    <w:p w:rsidR="00666FB9" w:rsidRDefault="00E65C9A">
      <w:pPr>
        <w:tabs>
          <w:tab w:val="center" w:pos="1200"/>
          <w:tab w:val="center" w:pos="6840"/>
        </w:tabs>
        <w:spacing w:before="80" w:after="80"/>
        <w:ind w:right="39" w:firstLine="573"/>
        <w:jc w:val="both"/>
        <w:rPr>
          <w:rFonts w:ascii="Times New Roman" w:eastAsia="Times New Roman" w:hAnsi="Times New Roman" w:cs="Times New Roman"/>
        </w:rPr>
      </w:pPr>
      <w:r>
        <w:rPr>
          <w:rFonts w:ascii="Times New Roman" w:eastAsia="Times New Roman" w:hAnsi="Times New Roman" w:cs="Times New Roman"/>
          <w:b/>
        </w:rPr>
        <w:t>Điều 2.</w:t>
      </w:r>
      <w:r>
        <w:rPr>
          <w:rFonts w:ascii="Times New Roman" w:eastAsia="Times New Roman" w:hAnsi="Times New Roman" w:cs="Times New Roman"/>
        </w:rPr>
        <w:t xml:space="preserve"> Quyết định này có hiệu lực kể từ ngày 26 tháng 11  năm 2020. </w:t>
      </w:r>
    </w:p>
    <w:p w:rsidR="00666FB9" w:rsidRDefault="00E65C9A">
      <w:pPr>
        <w:tabs>
          <w:tab w:val="center" w:pos="1200"/>
          <w:tab w:val="center" w:pos="6840"/>
        </w:tabs>
        <w:spacing w:before="80" w:after="80"/>
        <w:ind w:right="39" w:firstLine="573"/>
        <w:jc w:val="both"/>
        <w:rPr>
          <w:rFonts w:ascii="Times New Roman" w:eastAsia="Times New Roman" w:hAnsi="Times New Roman" w:cs="Times New Roman"/>
        </w:rPr>
      </w:pPr>
      <w:r>
        <w:rPr>
          <w:rFonts w:ascii="Times New Roman" w:eastAsia="Times New Roman" w:hAnsi="Times New Roman" w:cs="Times New Roman"/>
          <w:b/>
        </w:rPr>
        <w:t>Điều 3.</w:t>
      </w:r>
      <w:r>
        <w:rPr>
          <w:rFonts w:ascii="Times New Roman" w:eastAsia="Times New Roman" w:hAnsi="Times New Roman" w:cs="Times New Roman"/>
        </w:rPr>
        <w:t xml:space="preserve"> Chánh Văn phòng Ủy ban </w:t>
      </w:r>
      <w:r>
        <w:rPr>
          <w:rFonts w:ascii="Times New Roman" w:eastAsia="Times New Roman" w:hAnsi="Times New Roman" w:cs="Times New Roman"/>
        </w:rPr>
        <w:t>nhân dân tỉnh; Giám đốc Sở Giao thông Vận tải; Giám đốc Sở Xây dựng; Thủ trưởng các Sở, Ban, Ngành tỉnh; Chủ tịch Ủy ban nhân dân huyện, thị xã, thành phố và các tổ chức, cá nhân có liên quan chịu trách nhiệm thi hành Quyết định này./.</w:t>
      </w:r>
    </w:p>
    <w:tbl>
      <w:tblPr>
        <w:tblStyle w:val="a0"/>
        <w:tblW w:w="9345" w:type="dxa"/>
        <w:tblLayout w:type="fixed"/>
        <w:tblLook w:val="0000" w:firstRow="0" w:lastRow="0" w:firstColumn="0" w:lastColumn="0" w:noHBand="0" w:noVBand="0"/>
      </w:tblPr>
      <w:tblGrid>
        <w:gridCol w:w="4743"/>
        <w:gridCol w:w="4602"/>
      </w:tblGrid>
      <w:tr w:rsidR="00666FB9">
        <w:tc>
          <w:tcPr>
            <w:tcW w:w="4743" w:type="dxa"/>
          </w:tcPr>
          <w:p w:rsidR="00666FB9" w:rsidRDefault="00E65C9A">
            <w:pPr>
              <w:ind w:right="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Nơi nhận:</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Cổng Thông tin điện tử Chính phủ;</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Bộ Giao thông Vận tải; </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Cục Kiểm soát TTHC – VPCP;</w:t>
            </w:r>
          </w:p>
          <w:p w:rsidR="00666FB9" w:rsidRDefault="00E65C9A">
            <w:pPr>
              <w:tabs>
                <w:tab w:val="left" w:pos="6720"/>
              </w:tabs>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Cục Kiểm tra văn bản QPPL - Bộ Tư pháp;</w:t>
            </w:r>
            <w:r>
              <w:rPr>
                <w:rFonts w:ascii="Times New Roman" w:eastAsia="Times New Roman" w:hAnsi="Times New Roman" w:cs="Times New Roman"/>
                <w:color w:val="000000"/>
                <w:sz w:val="22"/>
                <w:szCs w:val="22"/>
              </w:rPr>
              <w:tab/>
              <w:t xml:space="preserve"> </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TT. Tỉnh ủy, TT.HĐND tỉnh; </w:t>
            </w:r>
          </w:p>
          <w:p w:rsidR="00666FB9" w:rsidRDefault="00E65C9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Chủ tịch, các PCT- UBND tỉnh; </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Ủy ban MTTQ Việt Nam tỉnh; </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Các Sở; Ban ngành tỉnh;</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UBND các huyện, thị xã, thành phố;</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Cổng thông tin điện tử An Giang;</w:t>
            </w:r>
          </w:p>
          <w:p w:rsidR="00666FB9" w:rsidRDefault="00E65C9A">
            <w:pPr>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Báo AG; Đài PTTH AG; Phân xã AG;</w:t>
            </w:r>
          </w:p>
          <w:p w:rsidR="00666FB9" w:rsidRDefault="00E65C9A">
            <w:pPr>
              <w:tabs>
                <w:tab w:val="center" w:pos="7011"/>
              </w:tabs>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VP. UBND tỉnh: Lãnh đạo VP, TH;</w:t>
            </w:r>
          </w:p>
          <w:p w:rsidR="00666FB9" w:rsidRDefault="00E65C9A">
            <w:pPr>
              <w:tabs>
                <w:tab w:val="center" w:pos="7011"/>
              </w:tabs>
              <w:ind w:right="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Trung tâm Công báo - Tin học tỉnh;</w:t>
            </w:r>
            <w:r>
              <w:rPr>
                <w:rFonts w:ascii="Times New Roman" w:eastAsia="Times New Roman" w:hAnsi="Times New Roman" w:cs="Times New Roman"/>
                <w:color w:val="000000"/>
                <w:sz w:val="22"/>
                <w:szCs w:val="22"/>
              </w:rPr>
              <w:tab/>
            </w:r>
          </w:p>
          <w:p w:rsidR="00666FB9" w:rsidRDefault="00E65C9A">
            <w:pPr>
              <w:ind w:right="9"/>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 Lưu: VT, KTN</w:t>
            </w:r>
            <w:r>
              <w:rPr>
                <w:rFonts w:ascii="Times New Roman" w:eastAsia="Times New Roman" w:hAnsi="Times New Roman" w:cs="Times New Roman"/>
                <w:sz w:val="22"/>
                <w:szCs w:val="22"/>
              </w:rPr>
              <w:t>.</w:t>
            </w:r>
          </w:p>
          <w:p w:rsidR="00666FB9" w:rsidRDefault="00666FB9">
            <w:pPr>
              <w:tabs>
                <w:tab w:val="center" w:pos="1200"/>
                <w:tab w:val="center" w:pos="6840"/>
              </w:tabs>
              <w:spacing w:after="120"/>
              <w:ind w:right="11"/>
              <w:jc w:val="both"/>
              <w:rPr>
                <w:rFonts w:ascii="Times New Roman" w:eastAsia="Times New Roman" w:hAnsi="Times New Roman" w:cs="Times New Roman"/>
              </w:rPr>
            </w:pPr>
          </w:p>
        </w:tc>
        <w:tc>
          <w:tcPr>
            <w:tcW w:w="4602" w:type="dxa"/>
          </w:tcPr>
          <w:p w:rsidR="00666FB9" w:rsidRDefault="00E65C9A">
            <w:pPr>
              <w:tabs>
                <w:tab w:val="center" w:pos="1200"/>
                <w:tab w:val="center" w:pos="6840"/>
              </w:tabs>
              <w:ind w:right="11"/>
              <w:jc w:val="center"/>
              <w:rPr>
                <w:rFonts w:ascii="Times New Roman" w:eastAsia="Times New Roman" w:hAnsi="Times New Roman" w:cs="Times New Roman"/>
              </w:rPr>
            </w:pPr>
            <w:r>
              <w:rPr>
                <w:rFonts w:ascii="Times New Roman" w:eastAsia="Times New Roman" w:hAnsi="Times New Roman" w:cs="Times New Roman"/>
                <w:b/>
              </w:rPr>
              <w:lastRenderedPageBreak/>
              <w:t>TM. ỦY BAN NHÂN DÂN</w:t>
            </w:r>
          </w:p>
          <w:p w:rsidR="00666FB9" w:rsidRDefault="00E65C9A">
            <w:pPr>
              <w:tabs>
                <w:tab w:val="center" w:pos="1200"/>
                <w:tab w:val="center" w:pos="6840"/>
              </w:tabs>
              <w:ind w:right="11"/>
              <w:jc w:val="center"/>
              <w:rPr>
                <w:rFonts w:ascii="Times New Roman" w:eastAsia="Times New Roman" w:hAnsi="Times New Roman" w:cs="Times New Roman"/>
              </w:rPr>
            </w:pPr>
            <w:r>
              <w:rPr>
                <w:rFonts w:ascii="Times New Roman" w:eastAsia="Times New Roman" w:hAnsi="Times New Roman" w:cs="Times New Roman"/>
                <w:b/>
              </w:rPr>
              <w:t>CHỦ TỊCH</w:t>
            </w:r>
          </w:p>
          <w:p w:rsidR="00666FB9" w:rsidRDefault="00666FB9">
            <w:pPr>
              <w:tabs>
                <w:tab w:val="center" w:pos="1200"/>
                <w:tab w:val="center" w:pos="6840"/>
              </w:tabs>
              <w:ind w:right="11"/>
              <w:jc w:val="center"/>
              <w:rPr>
                <w:rFonts w:ascii="Times New Roman" w:eastAsia="Times New Roman" w:hAnsi="Times New Roman" w:cs="Times New Roman"/>
              </w:rPr>
            </w:pPr>
          </w:p>
          <w:p w:rsidR="00666FB9" w:rsidRDefault="00666FB9">
            <w:pPr>
              <w:tabs>
                <w:tab w:val="center" w:pos="1200"/>
                <w:tab w:val="center" w:pos="6840"/>
              </w:tabs>
              <w:spacing w:after="120"/>
              <w:ind w:right="11"/>
              <w:jc w:val="center"/>
              <w:rPr>
                <w:rFonts w:ascii="Times New Roman" w:eastAsia="Times New Roman" w:hAnsi="Times New Roman" w:cs="Times New Roman"/>
              </w:rPr>
            </w:pPr>
          </w:p>
          <w:p w:rsidR="00666FB9" w:rsidRDefault="00666FB9">
            <w:pPr>
              <w:tabs>
                <w:tab w:val="center" w:pos="1200"/>
                <w:tab w:val="center" w:pos="6840"/>
              </w:tabs>
              <w:spacing w:after="120"/>
              <w:ind w:right="11"/>
              <w:rPr>
                <w:rFonts w:ascii="Times New Roman" w:eastAsia="Times New Roman" w:hAnsi="Times New Roman" w:cs="Times New Roman"/>
              </w:rPr>
            </w:pPr>
          </w:p>
          <w:p w:rsidR="00666FB9" w:rsidRDefault="00666FB9">
            <w:pPr>
              <w:tabs>
                <w:tab w:val="center" w:pos="1200"/>
                <w:tab w:val="center" w:pos="6840"/>
              </w:tabs>
              <w:spacing w:after="120"/>
              <w:ind w:right="11"/>
              <w:jc w:val="center"/>
              <w:rPr>
                <w:rFonts w:ascii="Times New Roman" w:eastAsia="Times New Roman" w:hAnsi="Times New Roman" w:cs="Times New Roman"/>
              </w:rPr>
            </w:pPr>
          </w:p>
          <w:p w:rsidR="00666FB9" w:rsidRDefault="00666FB9">
            <w:pPr>
              <w:tabs>
                <w:tab w:val="center" w:pos="1200"/>
                <w:tab w:val="center" w:pos="6840"/>
              </w:tabs>
              <w:spacing w:after="120"/>
              <w:ind w:right="11"/>
              <w:jc w:val="center"/>
              <w:rPr>
                <w:rFonts w:ascii="Times New Roman" w:eastAsia="Times New Roman" w:hAnsi="Times New Roman" w:cs="Times New Roman"/>
              </w:rPr>
            </w:pPr>
          </w:p>
          <w:p w:rsidR="00666FB9" w:rsidRDefault="00666FB9">
            <w:pPr>
              <w:tabs>
                <w:tab w:val="center" w:pos="1200"/>
                <w:tab w:val="center" w:pos="6840"/>
              </w:tabs>
              <w:spacing w:after="120"/>
              <w:ind w:right="11"/>
              <w:jc w:val="center"/>
              <w:rPr>
                <w:rFonts w:ascii="Times New Roman" w:eastAsia="Times New Roman" w:hAnsi="Times New Roman" w:cs="Times New Roman"/>
              </w:rPr>
            </w:pPr>
          </w:p>
          <w:p w:rsidR="00666FB9" w:rsidRDefault="00E65C9A">
            <w:pPr>
              <w:tabs>
                <w:tab w:val="center" w:pos="1200"/>
                <w:tab w:val="center" w:pos="6840"/>
              </w:tabs>
              <w:spacing w:after="120"/>
              <w:ind w:right="11"/>
              <w:jc w:val="center"/>
              <w:rPr>
                <w:rFonts w:ascii="Times New Roman" w:eastAsia="Times New Roman" w:hAnsi="Times New Roman" w:cs="Times New Roman"/>
              </w:rPr>
            </w:pPr>
            <w:r>
              <w:rPr>
                <w:rFonts w:ascii="Times New Roman" w:eastAsia="Times New Roman" w:hAnsi="Times New Roman" w:cs="Times New Roman"/>
                <w:b/>
              </w:rPr>
              <w:t>Nguyễn Thanh Bình</w:t>
            </w:r>
          </w:p>
        </w:tc>
      </w:tr>
    </w:tbl>
    <w:p w:rsidR="00666FB9" w:rsidRDefault="00666FB9">
      <w:pPr>
        <w:tabs>
          <w:tab w:val="center" w:pos="1200"/>
          <w:tab w:val="center" w:pos="6840"/>
        </w:tabs>
        <w:spacing w:after="120"/>
        <w:ind w:right="11" w:firstLine="573"/>
        <w:jc w:val="both"/>
        <w:rPr>
          <w:rFonts w:ascii="Times New Roman" w:eastAsia="Times New Roman" w:hAnsi="Times New Roman" w:cs="Times New Roman"/>
        </w:rPr>
      </w:pPr>
    </w:p>
    <w:p w:rsidR="00666FB9" w:rsidRDefault="00E65C9A">
      <w:pPr>
        <w:tabs>
          <w:tab w:val="center" w:pos="1200"/>
          <w:tab w:val="center" w:pos="7080"/>
        </w:tabs>
        <w:spacing w:before="60"/>
        <w:ind w:right="11" w:firstLine="720"/>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p>
    <w:sectPr w:rsidR="00666FB9">
      <w:headerReference w:type="default" r:id="rId14"/>
      <w:footerReference w:type="even" r:id="rId15"/>
      <w:footerReference w:type="default" r:id="rId16"/>
      <w:footerReference w:type="first" r:id="rId17"/>
      <w:pgSz w:w="11907" w:h="16840"/>
      <w:pgMar w:top="1440" w:right="1077" w:bottom="1170"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9A" w:rsidRDefault="00E65C9A">
      <w:r>
        <w:separator/>
      </w:r>
    </w:p>
  </w:endnote>
  <w:endnote w:type="continuationSeparator" w:id="0">
    <w:p w:rsidR="00E65C9A" w:rsidRDefault="00E6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FB9" w:rsidRDefault="00E65C9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66FB9" w:rsidRDefault="00666FB9">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FB9" w:rsidRDefault="00666FB9">
    <w:pPr>
      <w:pBdr>
        <w:top w:val="nil"/>
        <w:left w:val="nil"/>
        <w:bottom w:val="nil"/>
        <w:right w:val="nil"/>
        <w:between w:val="nil"/>
      </w:pBdr>
      <w:tabs>
        <w:tab w:val="center" w:pos="4320"/>
        <w:tab w:val="right" w:pos="8640"/>
      </w:tabs>
      <w:ind w:right="360"/>
      <w:rPr>
        <w:color w:val="000000"/>
      </w:rPr>
    </w:pPr>
  </w:p>
  <w:p w:rsidR="00666FB9" w:rsidRDefault="00666FB9">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FB9" w:rsidRDefault="00666FB9">
    <w:pPr>
      <w:pBdr>
        <w:top w:val="nil"/>
        <w:left w:val="nil"/>
        <w:bottom w:val="nil"/>
        <w:right w:val="nil"/>
        <w:between w:val="nil"/>
      </w:pBdr>
      <w:tabs>
        <w:tab w:val="center" w:pos="4320"/>
        <w:tab w:val="right" w:pos="8640"/>
      </w:tabs>
      <w:jc w:val="right"/>
      <w:rPr>
        <w:color w:val="000000"/>
      </w:rPr>
    </w:pPr>
  </w:p>
  <w:p w:rsidR="00666FB9" w:rsidRDefault="00666FB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9A" w:rsidRDefault="00E65C9A">
      <w:r>
        <w:separator/>
      </w:r>
    </w:p>
  </w:footnote>
  <w:footnote w:type="continuationSeparator" w:id="0">
    <w:p w:rsidR="00E65C9A" w:rsidRDefault="00E65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FB9" w:rsidRDefault="00E65C9A">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sidR="003D69EC">
      <w:rPr>
        <w:color w:val="000000"/>
        <w:sz w:val="24"/>
        <w:szCs w:val="24"/>
      </w:rPr>
      <w:fldChar w:fldCharType="separate"/>
    </w:r>
    <w:r w:rsidR="003D69EC">
      <w:rPr>
        <w:noProof/>
        <w:color w:val="000000"/>
        <w:sz w:val="24"/>
        <w:szCs w:val="24"/>
      </w:rPr>
      <w:t>3</w:t>
    </w:r>
    <w:r>
      <w:rPr>
        <w:color w:val="000000"/>
        <w:sz w:val="24"/>
        <w:szCs w:val="24"/>
      </w:rPr>
      <w:fldChar w:fldCharType="end"/>
    </w:r>
  </w:p>
  <w:p w:rsidR="00666FB9" w:rsidRDefault="00666FB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45F5"/>
    <w:multiLevelType w:val="multilevel"/>
    <w:tmpl w:val="F368641A"/>
    <w:lvl w:ilvl="0">
      <w:start w:val="1"/>
      <w:numFmt w:val="decimal"/>
      <w:lvlText w:val="%1."/>
      <w:lvlJc w:val="left"/>
      <w:pPr>
        <w:ind w:left="1293" w:hanging="359"/>
      </w:pPr>
      <w:rPr>
        <w:color w:val="000000"/>
        <w:vertAlign w:val="baseline"/>
      </w:rPr>
    </w:lvl>
    <w:lvl w:ilvl="1">
      <w:start w:val="1"/>
      <w:numFmt w:val="lowerLetter"/>
      <w:lvlText w:val="%2."/>
      <w:lvlJc w:val="left"/>
      <w:pPr>
        <w:ind w:left="2013" w:hanging="360"/>
      </w:pPr>
      <w:rPr>
        <w:vertAlign w:val="baseline"/>
      </w:rPr>
    </w:lvl>
    <w:lvl w:ilvl="2">
      <w:start w:val="1"/>
      <w:numFmt w:val="lowerRoman"/>
      <w:lvlText w:val="%3."/>
      <w:lvlJc w:val="right"/>
      <w:pPr>
        <w:ind w:left="2733" w:hanging="180"/>
      </w:pPr>
      <w:rPr>
        <w:vertAlign w:val="baseline"/>
      </w:rPr>
    </w:lvl>
    <w:lvl w:ilvl="3">
      <w:start w:val="1"/>
      <w:numFmt w:val="decimal"/>
      <w:lvlText w:val="%4."/>
      <w:lvlJc w:val="left"/>
      <w:pPr>
        <w:ind w:left="3453" w:hanging="360"/>
      </w:pPr>
      <w:rPr>
        <w:vertAlign w:val="baseline"/>
      </w:rPr>
    </w:lvl>
    <w:lvl w:ilvl="4">
      <w:start w:val="1"/>
      <w:numFmt w:val="lowerLetter"/>
      <w:lvlText w:val="%5."/>
      <w:lvlJc w:val="left"/>
      <w:pPr>
        <w:ind w:left="4173" w:hanging="360"/>
      </w:pPr>
      <w:rPr>
        <w:vertAlign w:val="baseline"/>
      </w:rPr>
    </w:lvl>
    <w:lvl w:ilvl="5">
      <w:start w:val="1"/>
      <w:numFmt w:val="lowerRoman"/>
      <w:lvlText w:val="%6."/>
      <w:lvlJc w:val="right"/>
      <w:pPr>
        <w:ind w:left="4893" w:hanging="180"/>
      </w:pPr>
      <w:rPr>
        <w:vertAlign w:val="baseline"/>
      </w:rPr>
    </w:lvl>
    <w:lvl w:ilvl="6">
      <w:start w:val="1"/>
      <w:numFmt w:val="decimal"/>
      <w:lvlText w:val="%7."/>
      <w:lvlJc w:val="left"/>
      <w:pPr>
        <w:ind w:left="5613" w:hanging="360"/>
      </w:pPr>
      <w:rPr>
        <w:vertAlign w:val="baseline"/>
      </w:rPr>
    </w:lvl>
    <w:lvl w:ilvl="7">
      <w:start w:val="1"/>
      <w:numFmt w:val="lowerLetter"/>
      <w:lvlText w:val="%8."/>
      <w:lvlJc w:val="left"/>
      <w:pPr>
        <w:ind w:left="6333" w:hanging="360"/>
      </w:pPr>
      <w:rPr>
        <w:vertAlign w:val="baseline"/>
      </w:rPr>
    </w:lvl>
    <w:lvl w:ilvl="8">
      <w:start w:val="1"/>
      <w:numFmt w:val="lowerRoman"/>
      <w:lvlText w:val="%9."/>
      <w:lvlJc w:val="right"/>
      <w:pPr>
        <w:ind w:left="7053"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6FB9"/>
    <w:rsid w:val="003D69EC"/>
    <w:rsid w:val="00666FB9"/>
    <w:rsid w:val="00E6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Palatino Linotype" w:hAnsi="Palatino Linotype" w:cs="Palatino Linotype"/>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Times New Roman" w:eastAsia="Times New Roman" w:hAnsi="Times New Roman" w:cs="Times New Roman"/>
      <w:b/>
    </w:rPr>
  </w:style>
  <w:style w:type="paragraph" w:styleId="Heading2">
    <w:name w:val="heading 2"/>
    <w:basedOn w:val="Normal"/>
    <w:next w:val="Normal"/>
    <w:pPr>
      <w:keepNext/>
      <w:jc w:val="center"/>
      <w:outlineLvl w:val="1"/>
    </w:pPr>
    <w:rPr>
      <w:i/>
      <w:sz w:val="26"/>
      <w:szCs w:val="26"/>
    </w:rPr>
  </w:style>
  <w:style w:type="paragraph" w:styleId="Heading3">
    <w:name w:val="heading 3"/>
    <w:basedOn w:val="Normal"/>
    <w:next w:val="Normal"/>
    <w:pPr>
      <w:keepNext/>
      <w:jc w:val="center"/>
      <w:outlineLvl w:val="2"/>
    </w:pPr>
    <w:rPr>
      <w:b/>
    </w:rPr>
  </w:style>
  <w:style w:type="paragraph" w:styleId="Heading4">
    <w:name w:val="heading 4"/>
    <w:basedOn w:val="Normal"/>
    <w:next w:val="Normal"/>
    <w:pPr>
      <w:keepNext/>
      <w:ind w:firstLine="390"/>
      <w:outlineLvl w:val="3"/>
    </w:pPr>
    <w:rPr>
      <w:rFonts w:ascii="Times New Roman" w:eastAsia="Times New Roman" w:hAnsi="Times New Roman" w:cs="Times New Roman"/>
      <w:b/>
    </w:rPr>
  </w:style>
  <w:style w:type="paragraph" w:styleId="Heading5">
    <w:name w:val="heading 5"/>
    <w:basedOn w:val="Normal"/>
    <w:next w:val="Normal"/>
    <w:pPr>
      <w:keepNext/>
      <w:outlineLvl w:val="4"/>
    </w:pPr>
    <w:rPr>
      <w:rFonts w:ascii="Times New Roman" w:eastAsia="Times New Roman" w:hAnsi="Times New Roman" w:cs="Times New Roman"/>
      <w:b/>
      <w:sz w:val="24"/>
      <w:szCs w:val="24"/>
    </w:rPr>
  </w:style>
  <w:style w:type="paragraph" w:styleId="Heading6">
    <w:name w:val="heading 6"/>
    <w:basedOn w:val="Normal"/>
    <w:next w:val="Normal"/>
    <w:pPr>
      <w:keepNext/>
      <w:ind w:left="4320" w:firstLine="720"/>
      <w:jc w:val="both"/>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Palatino Linotype" w:hAnsi="Palatino Linotype" w:cs="Palatino Linotype"/>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Times New Roman" w:eastAsia="Times New Roman" w:hAnsi="Times New Roman" w:cs="Times New Roman"/>
      <w:b/>
    </w:rPr>
  </w:style>
  <w:style w:type="paragraph" w:styleId="Heading2">
    <w:name w:val="heading 2"/>
    <w:basedOn w:val="Normal"/>
    <w:next w:val="Normal"/>
    <w:pPr>
      <w:keepNext/>
      <w:jc w:val="center"/>
      <w:outlineLvl w:val="1"/>
    </w:pPr>
    <w:rPr>
      <w:i/>
      <w:sz w:val="26"/>
      <w:szCs w:val="26"/>
    </w:rPr>
  </w:style>
  <w:style w:type="paragraph" w:styleId="Heading3">
    <w:name w:val="heading 3"/>
    <w:basedOn w:val="Normal"/>
    <w:next w:val="Normal"/>
    <w:pPr>
      <w:keepNext/>
      <w:jc w:val="center"/>
      <w:outlineLvl w:val="2"/>
    </w:pPr>
    <w:rPr>
      <w:b/>
    </w:rPr>
  </w:style>
  <w:style w:type="paragraph" w:styleId="Heading4">
    <w:name w:val="heading 4"/>
    <w:basedOn w:val="Normal"/>
    <w:next w:val="Normal"/>
    <w:pPr>
      <w:keepNext/>
      <w:ind w:firstLine="390"/>
      <w:outlineLvl w:val="3"/>
    </w:pPr>
    <w:rPr>
      <w:rFonts w:ascii="Times New Roman" w:eastAsia="Times New Roman" w:hAnsi="Times New Roman" w:cs="Times New Roman"/>
      <w:b/>
    </w:rPr>
  </w:style>
  <w:style w:type="paragraph" w:styleId="Heading5">
    <w:name w:val="heading 5"/>
    <w:basedOn w:val="Normal"/>
    <w:next w:val="Normal"/>
    <w:pPr>
      <w:keepNext/>
      <w:outlineLvl w:val="4"/>
    </w:pPr>
    <w:rPr>
      <w:rFonts w:ascii="Times New Roman" w:eastAsia="Times New Roman" w:hAnsi="Times New Roman" w:cs="Times New Roman"/>
      <w:b/>
      <w:sz w:val="24"/>
      <w:szCs w:val="24"/>
    </w:rPr>
  </w:style>
  <w:style w:type="paragraph" w:styleId="Heading6">
    <w:name w:val="heading 6"/>
    <w:basedOn w:val="Normal"/>
    <w:next w:val="Normal"/>
    <w:pPr>
      <w:keepNext/>
      <w:ind w:left="4320" w:firstLine="720"/>
      <w:jc w:val="both"/>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ukyluat.vn/vb/thong-tu-50-2015-tt-bgtvt-huong-dan-11-2010-nd-cp-quan-ly-bao-tri-ket-cau-ha-tang-giao-thong-duong-bo-47428.html"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thukyluat.vn/vb/nghi-dinh-11-2010-nd-cp-quan-ly-bao-ve-ket-cau-ha-tang-giao-thong-duong-bo-18c77.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kyluat.vn/vb/thong-tu-50-2015-tt-bgtvt-huong-dan-11-2010-nd-cp-quan-ly-bao-tri-ket-cau-ha-tang-giao-thong-duong-bo-4742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C0286-C307-4DCC-AD95-47D6CD3AB8F1}"/>
</file>

<file path=customXml/itemProps2.xml><?xml version="1.0" encoding="utf-8"?>
<ds:datastoreItem xmlns:ds="http://schemas.openxmlformats.org/officeDocument/2006/customXml" ds:itemID="{0C529722-B742-428D-B450-B8A25AD78B22}"/>
</file>

<file path=customXml/itemProps3.xml><?xml version="1.0" encoding="utf-8"?>
<ds:datastoreItem xmlns:ds="http://schemas.openxmlformats.org/officeDocument/2006/customXml" ds:itemID="{E2941D50-38A8-4A5E-B411-315495A93B1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2020-11-16T13:24:00Z</dcterms:created>
  <dcterms:modified xsi:type="dcterms:W3CDTF">2020-11-16T13:24:00Z</dcterms:modified>
</cp:coreProperties>
</file>