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00" w:rsidRPr="00F468F2" w:rsidRDefault="004D5800" w:rsidP="004D5800">
      <w:pPr>
        <w:jc w:val="both"/>
        <w:rPr>
          <w:sz w:val="22"/>
          <w:szCs w:val="22"/>
        </w:rPr>
      </w:pPr>
      <w:r w:rsidRPr="007A5528">
        <w:rPr>
          <w:b/>
          <w:sz w:val="26"/>
        </w:rPr>
        <w:t xml:space="preserve">HỘI ĐỒNG NHÂN DÂN   </w:t>
      </w:r>
      <w:r>
        <w:rPr>
          <w:sz w:val="26"/>
        </w:rPr>
        <w:t xml:space="preserve"> </w:t>
      </w:r>
      <w:r w:rsidR="00AE2357">
        <w:rPr>
          <w:sz w:val="26"/>
        </w:rPr>
        <w:t xml:space="preserve"> </w:t>
      </w:r>
      <w:r>
        <w:rPr>
          <w:sz w:val="26"/>
        </w:rPr>
        <w:t xml:space="preserve">    </w:t>
      </w:r>
      <w:r w:rsidR="00AE2357">
        <w:rPr>
          <w:sz w:val="26"/>
        </w:rPr>
        <w:t xml:space="preserve"> </w:t>
      </w:r>
      <w:r>
        <w:rPr>
          <w:sz w:val="26"/>
        </w:rPr>
        <w:t xml:space="preserve">  </w:t>
      </w:r>
      <w:r w:rsidRPr="00632F9C">
        <w:rPr>
          <w:b/>
          <w:sz w:val="26"/>
        </w:rPr>
        <w:t xml:space="preserve">CỘNG HÒA XÃ HỘI CHỦ NGHĨA VIỆT </w:t>
      </w:r>
      <w:smartTag w:uri="urn:schemas-microsoft-com:office:smarttags" w:element="country-region">
        <w:smartTag w:uri="urn:schemas-microsoft-com:office:smarttags" w:element="place">
          <w:r w:rsidRPr="00632F9C">
            <w:rPr>
              <w:b/>
              <w:sz w:val="26"/>
            </w:rPr>
            <w:t>NAM</w:t>
          </w:r>
        </w:smartTag>
      </w:smartTag>
    </w:p>
    <w:p w:rsidR="004D5800" w:rsidRPr="005664D6" w:rsidRDefault="004D5800" w:rsidP="004D5800">
      <w:pPr>
        <w:rPr>
          <w:b/>
          <w:sz w:val="26"/>
        </w:rPr>
      </w:pPr>
      <w:r>
        <w:rPr>
          <w:b/>
          <w:sz w:val="26"/>
        </w:rPr>
        <w:t xml:space="preserve">   TỈNH BÌNH PHƯỚC</w:t>
      </w:r>
      <w:r>
        <w:rPr>
          <w:sz w:val="26"/>
        </w:rPr>
        <w:tab/>
      </w:r>
      <w:r>
        <w:rPr>
          <w:sz w:val="26"/>
        </w:rPr>
        <w:tab/>
        <w:t xml:space="preserve">               </w:t>
      </w:r>
      <w:r w:rsidRPr="009811B3">
        <w:rPr>
          <w:b/>
          <w:sz w:val="28"/>
        </w:rPr>
        <w:t>Độc lập - Tự do - Hạnh phúc</w:t>
      </w:r>
    </w:p>
    <w:p w:rsidR="004D5800" w:rsidRDefault="00B32086" w:rsidP="004D5800">
      <w:pPr>
        <w:rPr>
          <w:sz w:val="26"/>
        </w:rPr>
      </w:pPr>
      <w:r>
        <w:rPr>
          <w:noProof/>
          <w:sz w:val="26"/>
        </w:rPr>
        <w:pict>
          <v:line id="_x0000_s1028" style="position:absolute;z-index:251662336" from="232.35pt,2pt" to="396.75pt,2pt"/>
        </w:pict>
      </w:r>
      <w:r>
        <w:rPr>
          <w:noProof/>
          <w:sz w:val="26"/>
        </w:rPr>
        <w:pict>
          <v:line id="_x0000_s1029" style="position:absolute;flip:y;z-index:251663360" from="45.75pt,2.75pt" to="93.15pt,2.75pt"/>
        </w:pict>
      </w:r>
    </w:p>
    <w:p w:rsidR="004D5800" w:rsidRDefault="004D5800" w:rsidP="004D5800">
      <w:pPr>
        <w:rPr>
          <w:i/>
          <w:sz w:val="26"/>
        </w:rPr>
      </w:pPr>
      <w:r>
        <w:rPr>
          <w:sz w:val="26"/>
        </w:rPr>
        <w:t>S</w:t>
      </w:r>
      <w:r w:rsidRPr="0025124D">
        <w:rPr>
          <w:sz w:val="26"/>
        </w:rPr>
        <w:t>ố</w:t>
      </w:r>
      <w:r>
        <w:rPr>
          <w:sz w:val="26"/>
        </w:rPr>
        <w:t xml:space="preserve">: </w:t>
      </w:r>
      <w:r w:rsidR="00273667">
        <w:rPr>
          <w:sz w:val="26"/>
        </w:rPr>
        <w:t>19</w:t>
      </w:r>
      <w:r>
        <w:rPr>
          <w:sz w:val="26"/>
        </w:rPr>
        <w:t>/2019/NQ-HĐND</w:t>
      </w:r>
      <w:r>
        <w:rPr>
          <w:sz w:val="26"/>
        </w:rPr>
        <w:tab/>
        <w:t xml:space="preserve">              </w:t>
      </w:r>
      <w:r w:rsidR="00273667">
        <w:rPr>
          <w:sz w:val="26"/>
        </w:rPr>
        <w:t xml:space="preserve">     </w:t>
      </w:r>
      <w:r w:rsidR="00AE2357">
        <w:rPr>
          <w:sz w:val="26"/>
        </w:rPr>
        <w:t xml:space="preserve">    </w:t>
      </w:r>
      <w:r>
        <w:rPr>
          <w:i/>
          <w:sz w:val="26"/>
        </w:rPr>
        <w:t>Bình Phước</w:t>
      </w:r>
      <w:r w:rsidRPr="0025124D">
        <w:rPr>
          <w:i/>
          <w:sz w:val="26"/>
        </w:rPr>
        <w:t>, ngày</w:t>
      </w:r>
      <w:r>
        <w:rPr>
          <w:i/>
          <w:sz w:val="26"/>
        </w:rPr>
        <w:t xml:space="preserve"> </w:t>
      </w:r>
      <w:r w:rsidR="00273667">
        <w:rPr>
          <w:i/>
          <w:sz w:val="26"/>
        </w:rPr>
        <w:t>16</w:t>
      </w:r>
      <w:r>
        <w:rPr>
          <w:i/>
          <w:sz w:val="26"/>
        </w:rPr>
        <w:t xml:space="preserve"> </w:t>
      </w:r>
      <w:r w:rsidRPr="0025124D">
        <w:rPr>
          <w:i/>
          <w:sz w:val="26"/>
        </w:rPr>
        <w:t>tháng</w:t>
      </w:r>
      <w:r>
        <w:rPr>
          <w:i/>
          <w:sz w:val="26"/>
        </w:rPr>
        <w:t xml:space="preserve"> </w:t>
      </w:r>
      <w:r w:rsidR="00273667">
        <w:rPr>
          <w:i/>
          <w:sz w:val="26"/>
        </w:rPr>
        <w:t>12</w:t>
      </w:r>
      <w:r>
        <w:rPr>
          <w:i/>
          <w:sz w:val="26"/>
        </w:rPr>
        <w:t xml:space="preserve"> </w:t>
      </w:r>
      <w:r w:rsidRPr="0025124D">
        <w:rPr>
          <w:i/>
          <w:sz w:val="26"/>
        </w:rPr>
        <w:t>năm 20</w:t>
      </w:r>
      <w:r>
        <w:rPr>
          <w:i/>
          <w:sz w:val="26"/>
        </w:rPr>
        <w:t>19</w:t>
      </w:r>
    </w:p>
    <w:p w:rsidR="00AE2357" w:rsidRDefault="00AE2357" w:rsidP="004D5800">
      <w:pPr>
        <w:rPr>
          <w:i/>
          <w:sz w:val="26"/>
        </w:rPr>
      </w:pPr>
    </w:p>
    <w:p w:rsidR="004D5800" w:rsidRDefault="004D5800" w:rsidP="004D5800">
      <w:pPr>
        <w:pStyle w:val="NormalWeb"/>
        <w:spacing w:before="120" w:beforeAutospacing="0" w:after="0" w:afterAutospacing="0"/>
        <w:jc w:val="center"/>
        <w:rPr>
          <w:b/>
          <w:sz w:val="30"/>
          <w:szCs w:val="30"/>
        </w:rPr>
      </w:pPr>
    </w:p>
    <w:p w:rsidR="004D5800" w:rsidRPr="00AE2357" w:rsidRDefault="004D5800" w:rsidP="00AE2357">
      <w:pPr>
        <w:pStyle w:val="NormalWeb"/>
        <w:spacing w:before="0" w:beforeAutospacing="0" w:after="0" w:afterAutospacing="0"/>
        <w:jc w:val="center"/>
        <w:rPr>
          <w:b/>
          <w:sz w:val="28"/>
          <w:szCs w:val="28"/>
        </w:rPr>
      </w:pPr>
      <w:r w:rsidRPr="00AE2357">
        <w:rPr>
          <w:b/>
          <w:sz w:val="28"/>
          <w:szCs w:val="28"/>
        </w:rPr>
        <w:t>NGHỊ QUYẾT</w:t>
      </w:r>
    </w:p>
    <w:p w:rsidR="00F0785E" w:rsidRDefault="004D5800" w:rsidP="00AE2357">
      <w:pPr>
        <w:jc w:val="center"/>
        <w:rPr>
          <w:b/>
          <w:sz w:val="28"/>
          <w:szCs w:val="28"/>
        </w:rPr>
      </w:pPr>
      <w:r w:rsidRPr="00AE2357">
        <w:rPr>
          <w:b/>
          <w:sz w:val="28"/>
          <w:szCs w:val="28"/>
        </w:rPr>
        <w:t xml:space="preserve">Quy định chính sách ưu đãi đối với các trường chuyên </w:t>
      </w:r>
    </w:p>
    <w:p w:rsidR="004D5800" w:rsidRPr="00AE2357" w:rsidRDefault="004D5800" w:rsidP="00AE2357">
      <w:pPr>
        <w:jc w:val="center"/>
        <w:rPr>
          <w:b/>
          <w:bCs/>
          <w:sz w:val="28"/>
          <w:szCs w:val="28"/>
        </w:rPr>
      </w:pPr>
      <w:r w:rsidRPr="00AE2357">
        <w:rPr>
          <w:b/>
          <w:sz w:val="28"/>
          <w:szCs w:val="28"/>
        </w:rPr>
        <w:t>và trường phổ thông dân tộc nội trú trên địa bàn tỉnh Bình Phước</w:t>
      </w:r>
    </w:p>
    <w:p w:rsidR="00AE2357" w:rsidRDefault="00B32086" w:rsidP="00AE2357">
      <w:pPr>
        <w:pStyle w:val="NormalWeb"/>
        <w:spacing w:before="0" w:beforeAutospacing="0" w:after="120" w:afterAutospacing="0"/>
        <w:jc w:val="center"/>
        <w:rPr>
          <w:b/>
          <w:bCs/>
          <w:sz w:val="28"/>
          <w:szCs w:val="28"/>
        </w:rPr>
      </w:pPr>
      <w:r>
        <w:rPr>
          <w:b/>
          <w:bCs/>
          <w:noProof/>
          <w:sz w:val="28"/>
          <w:szCs w:val="28"/>
        </w:rPr>
        <w:pict>
          <v:line id="_x0000_s1026" style="position:absolute;left:0;text-align:left;z-index:251660288" from="154.35pt,5.15pt" to="303.75pt,5.15pt"/>
        </w:pict>
      </w:r>
    </w:p>
    <w:p w:rsidR="004D5800" w:rsidRPr="00AE2357" w:rsidRDefault="004D5800" w:rsidP="00AE2357">
      <w:pPr>
        <w:pStyle w:val="NormalWeb"/>
        <w:spacing w:before="0" w:beforeAutospacing="0" w:after="120" w:afterAutospacing="0"/>
        <w:jc w:val="center"/>
        <w:rPr>
          <w:sz w:val="28"/>
          <w:szCs w:val="28"/>
        </w:rPr>
      </w:pPr>
      <w:r w:rsidRPr="00AE2357">
        <w:rPr>
          <w:b/>
          <w:bCs/>
          <w:sz w:val="28"/>
          <w:szCs w:val="28"/>
        </w:rPr>
        <w:t>HỘI ĐỒNG NHÂN DÂN TỈNH BÌNH PHƯỚC</w:t>
      </w:r>
      <w:r w:rsidRPr="00AE2357">
        <w:rPr>
          <w:b/>
          <w:bCs/>
          <w:sz w:val="28"/>
          <w:szCs w:val="28"/>
        </w:rPr>
        <w:br/>
        <w:t xml:space="preserve">KHÓA IX, KỲ HỌP THỨ </w:t>
      </w:r>
      <w:r w:rsidR="00F0785E">
        <w:rPr>
          <w:b/>
          <w:bCs/>
          <w:sz w:val="28"/>
          <w:szCs w:val="28"/>
        </w:rPr>
        <w:t>CHÍN</w:t>
      </w:r>
    </w:p>
    <w:p w:rsidR="001B53CE" w:rsidRDefault="001B53CE" w:rsidP="00AE2357">
      <w:pPr>
        <w:pStyle w:val="NormalWeb"/>
        <w:spacing w:before="0" w:beforeAutospacing="0" w:after="120" w:afterAutospacing="0"/>
        <w:ind w:firstLine="720"/>
        <w:jc w:val="both"/>
        <w:rPr>
          <w:i/>
          <w:iCs/>
          <w:sz w:val="28"/>
          <w:szCs w:val="28"/>
        </w:rPr>
      </w:pPr>
    </w:p>
    <w:p w:rsidR="004D5800" w:rsidRPr="00AE2357" w:rsidRDefault="00B34D80" w:rsidP="00AE2357">
      <w:pPr>
        <w:pStyle w:val="NormalWeb"/>
        <w:spacing w:before="0" w:beforeAutospacing="0" w:after="120" w:afterAutospacing="0"/>
        <w:ind w:firstLine="720"/>
        <w:jc w:val="both"/>
        <w:rPr>
          <w:i/>
          <w:sz w:val="28"/>
          <w:szCs w:val="28"/>
        </w:rPr>
      </w:pPr>
      <w:r>
        <w:rPr>
          <w:i/>
          <w:iCs/>
          <w:sz w:val="28"/>
          <w:szCs w:val="28"/>
        </w:rPr>
        <w:t>Căn cứ Luật Tổ chức c</w:t>
      </w:r>
      <w:r w:rsidR="004D5800" w:rsidRPr="00AE2357">
        <w:rPr>
          <w:i/>
          <w:iCs/>
          <w:sz w:val="28"/>
          <w:szCs w:val="28"/>
        </w:rPr>
        <w:t>hính quyền địa phương ngày 19 tháng 6 năm 2015;</w:t>
      </w:r>
    </w:p>
    <w:p w:rsidR="004D5800" w:rsidRPr="00AE2357" w:rsidRDefault="004D5800" w:rsidP="00AE2357">
      <w:pPr>
        <w:pStyle w:val="NormalWeb"/>
        <w:spacing w:before="0" w:beforeAutospacing="0" w:after="120" w:afterAutospacing="0"/>
        <w:ind w:firstLine="720"/>
        <w:jc w:val="both"/>
        <w:rPr>
          <w:i/>
          <w:sz w:val="28"/>
          <w:szCs w:val="28"/>
        </w:rPr>
      </w:pPr>
      <w:r w:rsidRPr="00AE2357">
        <w:rPr>
          <w:i/>
          <w:iCs/>
          <w:sz w:val="28"/>
          <w:szCs w:val="28"/>
        </w:rPr>
        <w:t>Căn cứ Luật Ban hành văn bản quy phạm pháp luật ngày 22 tháng 6 năm 2015;</w:t>
      </w:r>
    </w:p>
    <w:p w:rsidR="004D5800" w:rsidRPr="00AE2357" w:rsidRDefault="004D5800" w:rsidP="00AE2357">
      <w:pPr>
        <w:pStyle w:val="NormalWeb"/>
        <w:spacing w:before="0" w:beforeAutospacing="0" w:after="120" w:afterAutospacing="0"/>
        <w:ind w:firstLine="720"/>
        <w:jc w:val="both"/>
        <w:rPr>
          <w:i/>
          <w:iCs/>
          <w:sz w:val="28"/>
          <w:szCs w:val="28"/>
        </w:rPr>
      </w:pPr>
      <w:r w:rsidRPr="00AE2357">
        <w:rPr>
          <w:i/>
          <w:iCs/>
          <w:sz w:val="28"/>
          <w:szCs w:val="28"/>
        </w:rPr>
        <w:t>Căn cứ Luật Giáo dục ngày 14 tháng 6 năm 2005; Luật sửa đổi</w:t>
      </w:r>
      <w:r w:rsidR="007A58DE">
        <w:rPr>
          <w:i/>
          <w:iCs/>
          <w:sz w:val="28"/>
          <w:szCs w:val="28"/>
        </w:rPr>
        <w:t>,</w:t>
      </w:r>
      <w:r w:rsidRPr="00AE2357">
        <w:rPr>
          <w:i/>
          <w:iCs/>
          <w:sz w:val="28"/>
          <w:szCs w:val="28"/>
        </w:rPr>
        <w:t xml:space="preserve"> bổ sung một số điều của Luật Giáo dục ngày 25 tháng 11 năm 2009;</w:t>
      </w:r>
    </w:p>
    <w:p w:rsidR="004D5800" w:rsidRPr="00AE2357" w:rsidRDefault="004D5800" w:rsidP="00AE2357">
      <w:pPr>
        <w:spacing w:after="120"/>
        <w:ind w:firstLine="720"/>
        <w:jc w:val="both"/>
        <w:rPr>
          <w:i/>
          <w:iCs/>
          <w:sz w:val="28"/>
          <w:szCs w:val="28"/>
        </w:rPr>
      </w:pPr>
      <w:r w:rsidRPr="00AE2357">
        <w:rPr>
          <w:i/>
          <w:iCs/>
          <w:sz w:val="28"/>
          <w:szCs w:val="28"/>
        </w:rPr>
        <w:t>Căn cứ Luật Ngân sách nhà nước ngày 25 tháng 6 năm 2015;</w:t>
      </w:r>
    </w:p>
    <w:p w:rsidR="004D5800" w:rsidRPr="00AE2357" w:rsidRDefault="004D5800" w:rsidP="00AE2357">
      <w:pPr>
        <w:autoSpaceDE w:val="0"/>
        <w:autoSpaceDN w:val="0"/>
        <w:adjustRightInd w:val="0"/>
        <w:spacing w:after="120"/>
        <w:ind w:firstLine="720"/>
        <w:jc w:val="both"/>
        <w:rPr>
          <w:i/>
          <w:sz w:val="28"/>
          <w:szCs w:val="28"/>
        </w:rPr>
      </w:pPr>
      <w:r w:rsidRPr="00AE2357">
        <w:rPr>
          <w:i/>
          <w:sz w:val="28"/>
          <w:szCs w:val="28"/>
        </w:rPr>
        <w:t xml:space="preserve">Xét Tờ trình số </w:t>
      </w:r>
      <w:r w:rsidR="00F0785E">
        <w:rPr>
          <w:i/>
          <w:sz w:val="28"/>
          <w:szCs w:val="28"/>
        </w:rPr>
        <w:t>102</w:t>
      </w:r>
      <w:r w:rsidRPr="00AE2357">
        <w:rPr>
          <w:i/>
          <w:sz w:val="28"/>
          <w:szCs w:val="28"/>
        </w:rPr>
        <w:t>/TTr-UBND ngày</w:t>
      </w:r>
      <w:r w:rsidR="00B34D80">
        <w:rPr>
          <w:i/>
          <w:sz w:val="28"/>
          <w:szCs w:val="28"/>
        </w:rPr>
        <w:t xml:space="preserve"> 15 tháng 11 năm </w:t>
      </w:r>
      <w:r w:rsidRPr="00AE2357">
        <w:rPr>
          <w:i/>
          <w:sz w:val="28"/>
          <w:szCs w:val="28"/>
        </w:rPr>
        <w:t>2019 của Ủy ban nhân dân tỉnh; Báo cáo thẩm tra số 47/BC-HĐND-VHXH ngày 21</w:t>
      </w:r>
      <w:r w:rsidR="00B34D80">
        <w:rPr>
          <w:i/>
          <w:sz w:val="28"/>
          <w:szCs w:val="28"/>
        </w:rPr>
        <w:t xml:space="preserve"> tháng </w:t>
      </w:r>
      <w:r w:rsidRPr="00AE2357">
        <w:rPr>
          <w:i/>
          <w:sz w:val="28"/>
          <w:szCs w:val="28"/>
        </w:rPr>
        <w:t>11</w:t>
      </w:r>
      <w:r w:rsidR="00B34D80">
        <w:rPr>
          <w:i/>
          <w:sz w:val="28"/>
          <w:szCs w:val="28"/>
        </w:rPr>
        <w:t xml:space="preserve"> năm 2019 của Ban văn hóa - xã hội</w:t>
      </w:r>
      <w:r w:rsidRPr="00AE2357">
        <w:rPr>
          <w:i/>
          <w:sz w:val="28"/>
          <w:szCs w:val="28"/>
        </w:rPr>
        <w:t xml:space="preserve"> Hội đồng nhân dân tỉnh; ý kiến thảo luận của đại biểu Hội đồng nhân dân tỉnh </w:t>
      </w:r>
      <w:r w:rsidR="00F0785E">
        <w:rPr>
          <w:i/>
          <w:sz w:val="28"/>
          <w:szCs w:val="28"/>
        </w:rPr>
        <w:t xml:space="preserve">tại </w:t>
      </w:r>
      <w:r w:rsidR="00EE7FDF">
        <w:rPr>
          <w:i/>
          <w:sz w:val="28"/>
          <w:szCs w:val="28"/>
        </w:rPr>
        <w:t>k</w:t>
      </w:r>
      <w:r w:rsidRPr="00AE2357">
        <w:rPr>
          <w:i/>
          <w:sz w:val="28"/>
          <w:szCs w:val="28"/>
        </w:rPr>
        <w:t>ỳ họp</w:t>
      </w:r>
      <w:r w:rsidR="00EE7FDF">
        <w:rPr>
          <w:i/>
          <w:sz w:val="28"/>
          <w:szCs w:val="28"/>
        </w:rPr>
        <w:t>.</w:t>
      </w:r>
    </w:p>
    <w:p w:rsidR="004D5800" w:rsidRPr="00AE2357" w:rsidRDefault="004D5800" w:rsidP="00AE2357">
      <w:pPr>
        <w:pStyle w:val="NormalWeb"/>
        <w:spacing w:before="0" w:beforeAutospacing="0" w:after="120" w:afterAutospacing="0"/>
        <w:ind w:firstLine="720"/>
        <w:jc w:val="center"/>
        <w:rPr>
          <w:sz w:val="28"/>
          <w:szCs w:val="28"/>
        </w:rPr>
      </w:pPr>
      <w:r w:rsidRPr="00AE2357">
        <w:rPr>
          <w:b/>
          <w:bCs/>
          <w:sz w:val="28"/>
          <w:szCs w:val="28"/>
        </w:rPr>
        <w:t>QUYẾT NGHỊ:</w:t>
      </w:r>
    </w:p>
    <w:p w:rsidR="004D5800" w:rsidRPr="00B34D80" w:rsidRDefault="004D5800" w:rsidP="00AE2357">
      <w:pPr>
        <w:spacing w:after="120"/>
        <w:ind w:firstLine="567"/>
        <w:jc w:val="both"/>
        <w:rPr>
          <w:b/>
          <w:sz w:val="28"/>
          <w:szCs w:val="28"/>
        </w:rPr>
      </w:pPr>
      <w:r w:rsidRPr="00B34D80">
        <w:rPr>
          <w:b/>
          <w:sz w:val="28"/>
          <w:szCs w:val="28"/>
        </w:rPr>
        <w:t>Điều 1. Phạm vi điều chỉnh</w:t>
      </w:r>
    </w:p>
    <w:p w:rsidR="004D5800" w:rsidRPr="00AE2357" w:rsidRDefault="004D5800" w:rsidP="00AE2357">
      <w:pPr>
        <w:spacing w:after="120"/>
        <w:ind w:firstLine="567"/>
        <w:jc w:val="both"/>
        <w:rPr>
          <w:sz w:val="28"/>
          <w:szCs w:val="28"/>
        </w:rPr>
      </w:pPr>
      <w:r w:rsidRPr="00AE2357">
        <w:rPr>
          <w:sz w:val="28"/>
          <w:szCs w:val="28"/>
        </w:rPr>
        <w:t>Nghị quyết này quy định chính sách ưu đãi đối với các trường chuyên và trường phổ thông dân tộc nội trú trên địa bàn tỉnh Bình Phước.</w:t>
      </w:r>
    </w:p>
    <w:p w:rsidR="004921EB" w:rsidRPr="00B34D80" w:rsidRDefault="004D5800" w:rsidP="00AE2357">
      <w:pPr>
        <w:spacing w:after="120"/>
        <w:ind w:firstLine="567"/>
        <w:jc w:val="both"/>
        <w:rPr>
          <w:b/>
          <w:sz w:val="28"/>
          <w:szCs w:val="28"/>
        </w:rPr>
      </w:pPr>
      <w:r w:rsidRPr="00B34D80">
        <w:rPr>
          <w:b/>
          <w:sz w:val="28"/>
          <w:szCs w:val="28"/>
        </w:rPr>
        <w:t>Điều 2.</w:t>
      </w:r>
      <w:r w:rsidR="00B34D80">
        <w:rPr>
          <w:b/>
          <w:sz w:val="28"/>
          <w:szCs w:val="28"/>
        </w:rPr>
        <w:t xml:space="preserve"> Đối tượng áp dụng</w:t>
      </w:r>
    </w:p>
    <w:p w:rsidR="004D5800" w:rsidRPr="00AE2357" w:rsidRDefault="004D5800" w:rsidP="00AE2357">
      <w:pPr>
        <w:spacing w:after="120"/>
        <w:ind w:firstLine="567"/>
        <w:jc w:val="both"/>
        <w:rPr>
          <w:bCs/>
          <w:sz w:val="28"/>
          <w:szCs w:val="28"/>
        </w:rPr>
      </w:pPr>
      <w:r w:rsidRPr="00AE2357">
        <w:rPr>
          <w:bCs/>
          <w:sz w:val="28"/>
          <w:szCs w:val="28"/>
        </w:rPr>
        <w:t xml:space="preserve">Các tổ chức, cá nhân có liên quan đến </w:t>
      </w:r>
      <w:r w:rsidRPr="00AE2357">
        <w:rPr>
          <w:sz w:val="28"/>
          <w:szCs w:val="28"/>
        </w:rPr>
        <w:t>các trường chuyên và trường phổ thông dân tộc nội trú trên địa bàn tỉnh Bình Phước</w:t>
      </w:r>
      <w:r w:rsidRPr="00AE2357">
        <w:rPr>
          <w:bCs/>
          <w:sz w:val="28"/>
          <w:szCs w:val="28"/>
        </w:rPr>
        <w:t>, cụ thể:</w:t>
      </w:r>
    </w:p>
    <w:p w:rsidR="004D5800" w:rsidRPr="00AE2357" w:rsidRDefault="004D5800" w:rsidP="00AE2357">
      <w:pPr>
        <w:spacing w:after="120"/>
        <w:ind w:firstLine="567"/>
        <w:jc w:val="both"/>
        <w:rPr>
          <w:sz w:val="28"/>
          <w:szCs w:val="28"/>
        </w:rPr>
      </w:pPr>
      <w:r w:rsidRPr="00AE2357">
        <w:rPr>
          <w:bCs/>
          <w:sz w:val="28"/>
          <w:szCs w:val="28"/>
        </w:rPr>
        <w:t xml:space="preserve">a) Cán bộ quản lý </w:t>
      </w:r>
      <w:r w:rsidRPr="00AE2357">
        <w:rPr>
          <w:sz w:val="28"/>
          <w:szCs w:val="28"/>
        </w:rPr>
        <w:t>các trường chuyên và trường phổ thông dân tộc nội trú;</w:t>
      </w:r>
    </w:p>
    <w:p w:rsidR="004D5800" w:rsidRPr="00AE2357" w:rsidRDefault="004D5800" w:rsidP="00AE2357">
      <w:pPr>
        <w:spacing w:after="120"/>
        <w:ind w:firstLine="567"/>
        <w:jc w:val="both"/>
        <w:rPr>
          <w:sz w:val="28"/>
          <w:szCs w:val="28"/>
        </w:rPr>
      </w:pPr>
      <w:r w:rsidRPr="00AE2357">
        <w:rPr>
          <w:sz w:val="28"/>
          <w:szCs w:val="28"/>
        </w:rPr>
        <w:t>b)</w:t>
      </w:r>
      <w:r w:rsidRPr="00AE2357">
        <w:rPr>
          <w:bCs/>
          <w:sz w:val="28"/>
          <w:szCs w:val="28"/>
        </w:rPr>
        <w:t xml:space="preserve"> </w:t>
      </w:r>
      <w:r w:rsidRPr="00AE2357">
        <w:rPr>
          <w:sz w:val="28"/>
          <w:szCs w:val="28"/>
        </w:rPr>
        <w:t>Giáo viên, nhân viên và học sinh các trường chuyên và trường phổ thông dân tộc nội trú.</w:t>
      </w:r>
    </w:p>
    <w:p w:rsidR="004D5800" w:rsidRPr="00B34D80" w:rsidRDefault="004D5800" w:rsidP="00AE2357">
      <w:pPr>
        <w:spacing w:after="120"/>
        <w:ind w:firstLine="567"/>
        <w:jc w:val="both"/>
        <w:rPr>
          <w:b/>
          <w:sz w:val="28"/>
          <w:szCs w:val="28"/>
        </w:rPr>
      </w:pPr>
      <w:r w:rsidRPr="00B34D80">
        <w:rPr>
          <w:b/>
          <w:sz w:val="28"/>
          <w:szCs w:val="28"/>
        </w:rPr>
        <w:t xml:space="preserve">Điều </w:t>
      </w:r>
      <w:r w:rsidRPr="00B34D80">
        <w:rPr>
          <w:b/>
          <w:bCs/>
          <w:sz w:val="28"/>
          <w:szCs w:val="28"/>
        </w:rPr>
        <w:t xml:space="preserve">3. </w:t>
      </w:r>
      <w:r w:rsidRPr="00B34D80">
        <w:rPr>
          <w:b/>
          <w:sz w:val="28"/>
          <w:szCs w:val="28"/>
        </w:rPr>
        <w:t>Chính sách ưu đãi đối với các trường chuyên và trường phổ thông dân tộc nội trú trên địa bàn tỉnh Bình Phước</w:t>
      </w:r>
    </w:p>
    <w:p w:rsidR="004D5800" w:rsidRPr="00AE2357" w:rsidRDefault="004D5800" w:rsidP="007A58DE">
      <w:pPr>
        <w:spacing w:after="200" w:line="276" w:lineRule="auto"/>
        <w:ind w:firstLine="567"/>
        <w:rPr>
          <w:sz w:val="28"/>
          <w:szCs w:val="28"/>
        </w:rPr>
      </w:pPr>
      <w:r w:rsidRPr="00AE2357">
        <w:rPr>
          <w:sz w:val="28"/>
          <w:szCs w:val="28"/>
        </w:rPr>
        <w:t xml:space="preserve">1. Đối với cán bộ, </w:t>
      </w:r>
      <w:r w:rsidR="007A58DE">
        <w:rPr>
          <w:sz w:val="28"/>
          <w:szCs w:val="28"/>
        </w:rPr>
        <w:t xml:space="preserve">quản lý, </w:t>
      </w:r>
      <w:r w:rsidRPr="00AE2357">
        <w:rPr>
          <w:sz w:val="28"/>
          <w:szCs w:val="28"/>
        </w:rPr>
        <w:t>giáo viên</w:t>
      </w:r>
      <w:r w:rsidR="006760CB">
        <w:rPr>
          <w:sz w:val="28"/>
          <w:szCs w:val="28"/>
        </w:rPr>
        <w:br w:type="page"/>
      </w:r>
    </w:p>
    <w:p w:rsidR="004D5800" w:rsidRPr="00AE2357" w:rsidRDefault="004D5800" w:rsidP="00AE2357">
      <w:pPr>
        <w:spacing w:after="120"/>
        <w:ind w:firstLine="567"/>
        <w:jc w:val="both"/>
        <w:rPr>
          <w:sz w:val="28"/>
          <w:szCs w:val="28"/>
        </w:rPr>
      </w:pPr>
      <w:r w:rsidRPr="00AE2357">
        <w:rPr>
          <w:sz w:val="28"/>
          <w:szCs w:val="28"/>
        </w:rPr>
        <w:lastRenderedPageBreak/>
        <w:t xml:space="preserve">- </w:t>
      </w:r>
      <w:r w:rsidR="007A58DE">
        <w:rPr>
          <w:sz w:val="28"/>
          <w:szCs w:val="28"/>
        </w:rPr>
        <w:t>C</w:t>
      </w:r>
      <w:r w:rsidR="007A58DE" w:rsidRPr="00AE2357">
        <w:rPr>
          <w:sz w:val="28"/>
          <w:szCs w:val="28"/>
        </w:rPr>
        <w:t xml:space="preserve">án bộ, </w:t>
      </w:r>
      <w:r w:rsidR="007A58DE">
        <w:rPr>
          <w:sz w:val="28"/>
          <w:szCs w:val="28"/>
        </w:rPr>
        <w:t xml:space="preserve">quản lý, </w:t>
      </w:r>
      <w:r w:rsidR="007A58DE" w:rsidRPr="00AE2357">
        <w:rPr>
          <w:sz w:val="28"/>
          <w:szCs w:val="28"/>
        </w:rPr>
        <w:t xml:space="preserve">giáo viên </w:t>
      </w:r>
      <w:r w:rsidR="007A58DE">
        <w:rPr>
          <w:sz w:val="28"/>
          <w:szCs w:val="28"/>
        </w:rPr>
        <w:t>đ</w:t>
      </w:r>
      <w:r w:rsidRPr="00AE2357">
        <w:rPr>
          <w:sz w:val="28"/>
          <w:szCs w:val="28"/>
        </w:rPr>
        <w:t>ược ưu đãi bằng 50% mức lương theo ngạch, bậc, phụ cấp chức vụ, phụ cấp vượt khung (nếu có) hiện hưởng. Thời gian được h</w:t>
      </w:r>
      <w:r w:rsidR="00B34D80">
        <w:rPr>
          <w:sz w:val="28"/>
          <w:szCs w:val="28"/>
        </w:rPr>
        <w:t>ưởng ưu đãi là 10 tháng/năm học;</w:t>
      </w:r>
    </w:p>
    <w:p w:rsidR="004D5800" w:rsidRPr="00AE2357" w:rsidRDefault="004D5800" w:rsidP="00AE2357">
      <w:pPr>
        <w:spacing w:after="120"/>
        <w:ind w:firstLine="567"/>
        <w:jc w:val="both"/>
        <w:rPr>
          <w:sz w:val="28"/>
          <w:szCs w:val="28"/>
        </w:rPr>
      </w:pPr>
      <w:r w:rsidRPr="00AE2357">
        <w:rPr>
          <w:sz w:val="28"/>
          <w:szCs w:val="28"/>
        </w:rPr>
        <w:t xml:space="preserve">- Cán bộ, </w:t>
      </w:r>
      <w:r w:rsidR="007A58DE">
        <w:rPr>
          <w:sz w:val="28"/>
          <w:szCs w:val="28"/>
        </w:rPr>
        <w:t>quản lý, giáo viên t</w:t>
      </w:r>
      <w:r w:rsidRPr="00AE2357">
        <w:rPr>
          <w:sz w:val="28"/>
          <w:szCs w:val="28"/>
        </w:rPr>
        <w:t>rường chuyên bồi dưỡng học sinh giỏi các lớp 10, 11, 12 được thanh toán tiền dư giờ trong một năm, với</w:t>
      </w:r>
      <w:r w:rsidR="007A58DE">
        <w:rPr>
          <w:sz w:val="28"/>
          <w:szCs w:val="28"/>
        </w:rPr>
        <w:t xml:space="preserve"> định</w:t>
      </w:r>
      <w:r w:rsidRPr="00AE2357">
        <w:rPr>
          <w:sz w:val="28"/>
          <w:szCs w:val="28"/>
        </w:rPr>
        <w:t xml:space="preserve"> mức 180 tiết đối với môn có học sinh dự thi học sinh giỏi cấp quốc gia.</w:t>
      </w:r>
    </w:p>
    <w:p w:rsidR="004D5800" w:rsidRPr="00AE2357" w:rsidRDefault="004D5800" w:rsidP="00AE2357">
      <w:pPr>
        <w:spacing w:after="120"/>
        <w:ind w:firstLine="567"/>
        <w:jc w:val="both"/>
        <w:rPr>
          <w:sz w:val="28"/>
          <w:szCs w:val="28"/>
        </w:rPr>
      </w:pPr>
      <w:r w:rsidRPr="00AE2357">
        <w:rPr>
          <w:sz w:val="28"/>
          <w:szCs w:val="28"/>
        </w:rPr>
        <w:t>2. Đối với nhân viên</w:t>
      </w:r>
    </w:p>
    <w:p w:rsidR="004D5800" w:rsidRPr="00AE2357" w:rsidRDefault="004D5800" w:rsidP="00AE2357">
      <w:pPr>
        <w:spacing w:after="120"/>
        <w:ind w:firstLine="567"/>
        <w:jc w:val="both"/>
        <w:rPr>
          <w:sz w:val="28"/>
          <w:szCs w:val="28"/>
        </w:rPr>
      </w:pPr>
      <w:r w:rsidRPr="00AE2357">
        <w:rPr>
          <w:sz w:val="28"/>
          <w:szCs w:val="28"/>
        </w:rPr>
        <w:t>- Nhân viên (trong biên chế và hợp đồng) được hưởng ưu đãi bằng 25% mức l</w:t>
      </w:r>
      <w:r w:rsidR="00B34D80">
        <w:rPr>
          <w:sz w:val="28"/>
          <w:szCs w:val="28"/>
        </w:rPr>
        <w:t>ương theo ngạch, bậc hiện hưởng;</w:t>
      </w:r>
    </w:p>
    <w:p w:rsidR="004D5800" w:rsidRPr="00AE2357" w:rsidRDefault="004D5800" w:rsidP="00AE2357">
      <w:pPr>
        <w:spacing w:after="120"/>
        <w:ind w:firstLine="567"/>
        <w:jc w:val="both"/>
        <w:rPr>
          <w:sz w:val="28"/>
          <w:szCs w:val="28"/>
        </w:rPr>
      </w:pPr>
      <w:r w:rsidRPr="00AE2357">
        <w:rPr>
          <w:sz w:val="28"/>
          <w:szCs w:val="28"/>
        </w:rPr>
        <w:t>- Thời gian được hưởng ưu đãi là 10 tháng/năm học.</w:t>
      </w:r>
    </w:p>
    <w:p w:rsidR="004D5800" w:rsidRPr="00AE2357" w:rsidRDefault="004D5800" w:rsidP="00AE2357">
      <w:pPr>
        <w:spacing w:after="120"/>
        <w:ind w:firstLine="567"/>
        <w:jc w:val="both"/>
        <w:rPr>
          <w:sz w:val="28"/>
          <w:szCs w:val="28"/>
        </w:rPr>
      </w:pPr>
      <w:r w:rsidRPr="00AE2357">
        <w:rPr>
          <w:sz w:val="28"/>
          <w:szCs w:val="28"/>
        </w:rPr>
        <w:t>3. Đối với học sinh</w:t>
      </w:r>
    </w:p>
    <w:p w:rsidR="004D5800" w:rsidRPr="00AE2357" w:rsidRDefault="004D5800" w:rsidP="00AE2357">
      <w:pPr>
        <w:spacing w:after="120"/>
        <w:ind w:firstLine="567"/>
        <w:jc w:val="both"/>
        <w:rPr>
          <w:sz w:val="28"/>
          <w:szCs w:val="28"/>
        </w:rPr>
      </w:pPr>
      <w:r w:rsidRPr="00AE2357">
        <w:rPr>
          <w:sz w:val="28"/>
          <w:szCs w:val="28"/>
        </w:rPr>
        <w:t>a) Học sinh đạt thành tích xuất sắc, giỏi, tiên tiến trong học tập được nhận học bổng như sau:</w:t>
      </w:r>
    </w:p>
    <w:p w:rsidR="004D5800" w:rsidRPr="00AE2357" w:rsidRDefault="004D5800" w:rsidP="00AE2357">
      <w:pPr>
        <w:spacing w:after="120"/>
        <w:ind w:firstLine="567"/>
        <w:jc w:val="both"/>
        <w:rPr>
          <w:sz w:val="28"/>
          <w:szCs w:val="28"/>
        </w:rPr>
      </w:pPr>
      <w:r w:rsidRPr="00AE2357">
        <w:rPr>
          <w:sz w:val="28"/>
          <w:szCs w:val="28"/>
        </w:rPr>
        <w:t xml:space="preserve">- </w:t>
      </w:r>
      <w:r w:rsidR="0025569E">
        <w:rPr>
          <w:sz w:val="28"/>
          <w:szCs w:val="28"/>
        </w:rPr>
        <w:t>Học sinh xuất sắc: Đ</w:t>
      </w:r>
      <w:r w:rsidR="007A58DE">
        <w:rPr>
          <w:sz w:val="28"/>
          <w:szCs w:val="28"/>
        </w:rPr>
        <w:t>ược cấp học bổng</w:t>
      </w:r>
      <w:r w:rsidRPr="00AE2357">
        <w:rPr>
          <w:sz w:val="28"/>
          <w:szCs w:val="28"/>
        </w:rPr>
        <w:t xml:space="preserve"> với định mức bằng 30% mức lương </w:t>
      </w:r>
      <w:r w:rsidR="007A58DE">
        <w:rPr>
          <w:sz w:val="28"/>
          <w:szCs w:val="28"/>
        </w:rPr>
        <w:t>cơ sở/tháng.</w:t>
      </w:r>
    </w:p>
    <w:p w:rsidR="004D5800" w:rsidRPr="00AE2357" w:rsidRDefault="004D5800" w:rsidP="00AE2357">
      <w:pPr>
        <w:spacing w:after="120"/>
        <w:ind w:firstLine="567"/>
        <w:jc w:val="both"/>
        <w:rPr>
          <w:sz w:val="28"/>
          <w:szCs w:val="28"/>
        </w:rPr>
      </w:pPr>
      <w:r w:rsidRPr="00AE2357">
        <w:rPr>
          <w:sz w:val="28"/>
          <w:szCs w:val="28"/>
        </w:rPr>
        <w:t xml:space="preserve">- </w:t>
      </w:r>
      <w:r w:rsidR="0025569E">
        <w:rPr>
          <w:sz w:val="28"/>
          <w:szCs w:val="28"/>
        </w:rPr>
        <w:t>Học sinh giỏi: Đ</w:t>
      </w:r>
      <w:r w:rsidR="007A58DE">
        <w:rPr>
          <w:sz w:val="28"/>
          <w:szCs w:val="28"/>
        </w:rPr>
        <w:t>ược cấp học bổng</w:t>
      </w:r>
      <w:r w:rsidRPr="00AE2357">
        <w:rPr>
          <w:sz w:val="28"/>
          <w:szCs w:val="28"/>
        </w:rPr>
        <w:t xml:space="preserve"> với định mức bằng 25% mức lương </w:t>
      </w:r>
      <w:r w:rsidR="007A58DE">
        <w:rPr>
          <w:sz w:val="28"/>
          <w:szCs w:val="28"/>
        </w:rPr>
        <w:t>cơ sở/tháng.</w:t>
      </w:r>
    </w:p>
    <w:p w:rsidR="004D5800" w:rsidRPr="00AE2357" w:rsidRDefault="004D5800" w:rsidP="00AE2357">
      <w:pPr>
        <w:spacing w:after="120"/>
        <w:ind w:firstLine="567"/>
        <w:jc w:val="both"/>
        <w:rPr>
          <w:sz w:val="28"/>
          <w:szCs w:val="28"/>
        </w:rPr>
      </w:pPr>
      <w:r w:rsidRPr="00AE2357">
        <w:rPr>
          <w:sz w:val="28"/>
          <w:szCs w:val="28"/>
        </w:rPr>
        <w:t>- Học sinh tiên tiến (điểm trung</w:t>
      </w:r>
      <w:r w:rsidR="0025569E">
        <w:rPr>
          <w:sz w:val="28"/>
          <w:szCs w:val="28"/>
        </w:rPr>
        <w:t xml:space="preserve"> bình học tập từ 7,5 trở lên): Đ</w:t>
      </w:r>
      <w:r w:rsidR="007A58DE">
        <w:rPr>
          <w:sz w:val="28"/>
          <w:szCs w:val="28"/>
        </w:rPr>
        <w:t>ược cấp học bổng</w:t>
      </w:r>
      <w:r w:rsidRPr="00AE2357">
        <w:rPr>
          <w:sz w:val="28"/>
          <w:szCs w:val="28"/>
        </w:rPr>
        <w:t xml:space="preserve"> với định mức bằng 20% mức lương </w:t>
      </w:r>
      <w:r w:rsidR="007A58DE">
        <w:rPr>
          <w:sz w:val="28"/>
          <w:szCs w:val="28"/>
        </w:rPr>
        <w:t>cơ sở/tháng.</w:t>
      </w:r>
    </w:p>
    <w:p w:rsidR="004D5800" w:rsidRPr="00AE2357" w:rsidRDefault="004D5800" w:rsidP="00AE2357">
      <w:pPr>
        <w:spacing w:after="120"/>
        <w:ind w:firstLine="567"/>
        <w:jc w:val="both"/>
        <w:rPr>
          <w:sz w:val="28"/>
          <w:szCs w:val="28"/>
        </w:rPr>
      </w:pPr>
      <w:r w:rsidRPr="00AE2357">
        <w:rPr>
          <w:sz w:val="28"/>
          <w:szCs w:val="28"/>
        </w:rPr>
        <w:t>b) Học bổng trên được xét theo học kỳ. Thời gian được hưởng</w:t>
      </w:r>
      <w:r w:rsidR="007A58DE">
        <w:rPr>
          <w:sz w:val="28"/>
          <w:szCs w:val="28"/>
        </w:rPr>
        <w:t xml:space="preserve"> theo kế hoạch biên chế năm học.</w:t>
      </w:r>
    </w:p>
    <w:p w:rsidR="004D5800" w:rsidRPr="00AE2357" w:rsidRDefault="004D5800" w:rsidP="00AE2357">
      <w:pPr>
        <w:spacing w:after="120"/>
        <w:ind w:firstLine="567"/>
        <w:jc w:val="both"/>
        <w:rPr>
          <w:sz w:val="28"/>
          <w:szCs w:val="28"/>
        </w:rPr>
      </w:pPr>
      <w:r w:rsidRPr="00AE2357">
        <w:rPr>
          <w:sz w:val="28"/>
          <w:szCs w:val="28"/>
        </w:rPr>
        <w:t>c) Hỗ trợ tiền điện, nước cho học sinh ở</w:t>
      </w:r>
      <w:r w:rsidR="0025569E">
        <w:rPr>
          <w:sz w:val="28"/>
          <w:szCs w:val="28"/>
        </w:rPr>
        <w:t xml:space="preserve"> nội trú, với định mức tối đa: Đ</w:t>
      </w:r>
      <w:r w:rsidRPr="00AE2357">
        <w:rPr>
          <w:sz w:val="28"/>
          <w:szCs w:val="28"/>
        </w:rPr>
        <w:t>iện 25kwh/học sinh/tháng; nước 4m</w:t>
      </w:r>
      <w:r w:rsidRPr="00AE2357">
        <w:rPr>
          <w:sz w:val="28"/>
          <w:szCs w:val="28"/>
          <w:vertAlign w:val="superscript"/>
        </w:rPr>
        <w:t>3</w:t>
      </w:r>
      <w:r w:rsidR="007A58DE">
        <w:rPr>
          <w:sz w:val="28"/>
          <w:szCs w:val="28"/>
        </w:rPr>
        <w:t>/học sinh/tháng.</w:t>
      </w:r>
    </w:p>
    <w:p w:rsidR="004D5800" w:rsidRPr="00AE2357" w:rsidRDefault="004D5800" w:rsidP="00AE2357">
      <w:pPr>
        <w:spacing w:after="120"/>
        <w:ind w:firstLine="567"/>
        <w:jc w:val="both"/>
        <w:rPr>
          <w:sz w:val="28"/>
          <w:szCs w:val="28"/>
        </w:rPr>
      </w:pPr>
      <w:r w:rsidRPr="00AE2357">
        <w:rPr>
          <w:sz w:val="28"/>
          <w:szCs w:val="28"/>
        </w:rPr>
        <w:t>d)</w:t>
      </w:r>
      <w:r w:rsidR="0025569E">
        <w:rPr>
          <w:sz w:val="28"/>
          <w:szCs w:val="28"/>
        </w:rPr>
        <w:t xml:space="preserve"> Sinh hoạt phí học sinh: H</w:t>
      </w:r>
      <w:r w:rsidRPr="00AE2357">
        <w:rPr>
          <w:sz w:val="28"/>
          <w:szCs w:val="28"/>
        </w:rPr>
        <w:t xml:space="preserve">ỗ trợ tương đương 70% mức lương </w:t>
      </w:r>
      <w:r w:rsidR="007A58DE">
        <w:rPr>
          <w:sz w:val="28"/>
          <w:szCs w:val="28"/>
        </w:rPr>
        <w:t>cơ sở</w:t>
      </w:r>
      <w:r w:rsidRPr="00AE2357">
        <w:rPr>
          <w:sz w:val="28"/>
          <w:szCs w:val="28"/>
        </w:rPr>
        <w:t>/tháng cho học sinh là con đối tượng chính sách người có công với cách mạng, học sinh là con hộ nghèo, học sinh là đối tượng bảo trợ xã hội theo quy định tại Nghị</w:t>
      </w:r>
      <w:r w:rsidR="00B34D80">
        <w:rPr>
          <w:sz w:val="28"/>
          <w:szCs w:val="28"/>
        </w:rPr>
        <w:t xml:space="preserve"> định số 136/2013/NĐ-CP ngày 21 tháng 10 năm </w:t>
      </w:r>
      <w:r w:rsidRPr="00AE2357">
        <w:rPr>
          <w:sz w:val="28"/>
          <w:szCs w:val="28"/>
        </w:rPr>
        <w:t>2013 của Chính phủ về chính sách trợ giúp xã hội đối với đối tượng bảo trợ xã hội;</w:t>
      </w:r>
    </w:p>
    <w:p w:rsidR="004D5800" w:rsidRPr="00AE2357" w:rsidRDefault="004D5800" w:rsidP="00AE2357">
      <w:pPr>
        <w:spacing w:after="120"/>
        <w:ind w:firstLine="567"/>
        <w:jc w:val="both"/>
        <w:rPr>
          <w:sz w:val="28"/>
          <w:szCs w:val="28"/>
        </w:rPr>
      </w:pPr>
      <w:r w:rsidRPr="00AE2357">
        <w:rPr>
          <w:sz w:val="28"/>
          <w:szCs w:val="28"/>
        </w:rPr>
        <w:t>đ) Thời gian hưởng các khoản hỗ trợ, sinh hoạt phí trên được tính theo kế hoạch biên chế năm học và theo số học sinh trong từng năm học.</w:t>
      </w:r>
    </w:p>
    <w:p w:rsidR="004D5800" w:rsidRPr="00AE2357" w:rsidRDefault="004D5800" w:rsidP="00AE2357">
      <w:pPr>
        <w:spacing w:after="120"/>
        <w:ind w:firstLine="567"/>
        <w:jc w:val="both"/>
        <w:rPr>
          <w:sz w:val="28"/>
          <w:szCs w:val="28"/>
        </w:rPr>
      </w:pPr>
      <w:r w:rsidRPr="00AE2357">
        <w:rPr>
          <w:sz w:val="28"/>
          <w:szCs w:val="28"/>
        </w:rPr>
        <w:t>4. Nguồn kinh phí: Từ ngu</w:t>
      </w:r>
      <w:r w:rsidR="0025569E">
        <w:rPr>
          <w:sz w:val="28"/>
          <w:szCs w:val="28"/>
        </w:rPr>
        <w:t>ồ</w:t>
      </w:r>
      <w:r w:rsidRPr="00AE2357">
        <w:rPr>
          <w:sz w:val="28"/>
          <w:szCs w:val="28"/>
        </w:rPr>
        <w:t>n sự nghiệp giáo dục</w:t>
      </w:r>
      <w:r w:rsidR="007A58DE">
        <w:rPr>
          <w:sz w:val="28"/>
          <w:szCs w:val="28"/>
        </w:rPr>
        <w:t xml:space="preserve"> và</w:t>
      </w:r>
      <w:r w:rsidRPr="00AE2357">
        <w:rPr>
          <w:sz w:val="28"/>
          <w:szCs w:val="28"/>
        </w:rPr>
        <w:t xml:space="preserve"> đào tạo hàng năm (theo phân cấp ngân sách hiện hành).</w:t>
      </w:r>
    </w:p>
    <w:p w:rsidR="004D5800" w:rsidRPr="00AE2357" w:rsidRDefault="004D5800" w:rsidP="00AE2357">
      <w:pPr>
        <w:spacing w:after="120"/>
        <w:ind w:firstLine="567"/>
        <w:jc w:val="both"/>
        <w:rPr>
          <w:sz w:val="28"/>
          <w:szCs w:val="28"/>
        </w:rPr>
      </w:pPr>
      <w:r w:rsidRPr="00AE2357">
        <w:rPr>
          <w:b/>
          <w:sz w:val="28"/>
          <w:szCs w:val="28"/>
        </w:rPr>
        <w:t>Điều 4.</w:t>
      </w:r>
      <w:r w:rsidRPr="00AE2357">
        <w:rPr>
          <w:sz w:val="28"/>
          <w:szCs w:val="28"/>
        </w:rPr>
        <w:t xml:space="preserve"> Giao Ủy ban nhân dân tỉnh tổ chức thực hiện; giao </w:t>
      </w:r>
      <w:r w:rsidR="007942F2">
        <w:rPr>
          <w:sz w:val="28"/>
          <w:szCs w:val="28"/>
        </w:rPr>
        <w:t>T</w:t>
      </w:r>
      <w:r w:rsidRPr="00AE2357">
        <w:rPr>
          <w:sz w:val="28"/>
          <w:szCs w:val="28"/>
        </w:rPr>
        <w:t xml:space="preserve">hường trực Hội đồng nhân dân tỉnh, các Ban của Hội đồng nhân dân tỉnh, các Tổ đại biểu Hội đồng nhân dân tỉnh </w:t>
      </w:r>
      <w:r w:rsidR="007A58DE">
        <w:rPr>
          <w:sz w:val="28"/>
          <w:szCs w:val="28"/>
        </w:rPr>
        <w:t>và các đ</w:t>
      </w:r>
      <w:r w:rsidRPr="00AE2357">
        <w:rPr>
          <w:sz w:val="28"/>
          <w:szCs w:val="28"/>
        </w:rPr>
        <w:t>ại biểu Hội đồng nhân dân tỉnh giám sát việc thực hiện.</w:t>
      </w:r>
    </w:p>
    <w:p w:rsidR="00B34D80" w:rsidRDefault="004D5800" w:rsidP="00AE2357">
      <w:pPr>
        <w:spacing w:after="120"/>
        <w:ind w:firstLine="567"/>
        <w:jc w:val="both"/>
        <w:rPr>
          <w:sz w:val="28"/>
          <w:szCs w:val="28"/>
        </w:rPr>
      </w:pPr>
      <w:r w:rsidRPr="00AE2357">
        <w:rPr>
          <w:sz w:val="28"/>
          <w:szCs w:val="28"/>
        </w:rPr>
        <w:t xml:space="preserve">Nghị quyết này đã được Hội đồng nhân dân tỉnh Bình Phước khóa IX, kỳ họp thứ </w:t>
      </w:r>
      <w:r w:rsidR="00B34D80">
        <w:rPr>
          <w:sz w:val="28"/>
          <w:szCs w:val="28"/>
        </w:rPr>
        <w:t>c</w:t>
      </w:r>
      <w:r w:rsidR="007942F2">
        <w:rPr>
          <w:sz w:val="28"/>
          <w:szCs w:val="28"/>
        </w:rPr>
        <w:t>hín</w:t>
      </w:r>
      <w:r w:rsidRPr="00AE2357">
        <w:rPr>
          <w:sz w:val="28"/>
          <w:szCs w:val="28"/>
        </w:rPr>
        <w:t xml:space="preserve"> thông qua ngày</w:t>
      </w:r>
      <w:r w:rsidR="00B34D80">
        <w:rPr>
          <w:sz w:val="28"/>
          <w:szCs w:val="28"/>
        </w:rPr>
        <w:t xml:space="preserve"> 11 </w:t>
      </w:r>
      <w:r w:rsidRPr="00AE2357">
        <w:rPr>
          <w:sz w:val="28"/>
          <w:szCs w:val="28"/>
        </w:rPr>
        <w:t>tháng</w:t>
      </w:r>
      <w:r w:rsidR="00B34D80">
        <w:rPr>
          <w:sz w:val="28"/>
          <w:szCs w:val="28"/>
        </w:rPr>
        <w:t xml:space="preserve"> 12 năm 2019 và </w:t>
      </w:r>
      <w:r w:rsidRPr="00AE2357">
        <w:rPr>
          <w:sz w:val="28"/>
          <w:szCs w:val="28"/>
        </w:rPr>
        <w:t xml:space="preserve">có hiệu lực </w:t>
      </w:r>
      <w:r w:rsidR="00B34D80">
        <w:rPr>
          <w:sz w:val="28"/>
          <w:szCs w:val="28"/>
        </w:rPr>
        <w:t>từ ngày 26 tháng 12 năm 2019.</w:t>
      </w:r>
    </w:p>
    <w:p w:rsidR="004D5800" w:rsidRDefault="004D5800" w:rsidP="00AE2357">
      <w:pPr>
        <w:spacing w:after="120"/>
        <w:ind w:firstLine="567"/>
        <w:jc w:val="both"/>
        <w:rPr>
          <w:sz w:val="28"/>
          <w:szCs w:val="28"/>
        </w:rPr>
      </w:pPr>
      <w:r w:rsidRPr="00AE2357">
        <w:rPr>
          <w:sz w:val="28"/>
          <w:szCs w:val="28"/>
        </w:rPr>
        <w:lastRenderedPageBreak/>
        <w:t xml:space="preserve"> </w:t>
      </w:r>
      <w:r w:rsidR="00B34D80">
        <w:rPr>
          <w:sz w:val="28"/>
          <w:szCs w:val="28"/>
        </w:rPr>
        <w:t xml:space="preserve">Nghị quyết này </w:t>
      </w:r>
      <w:r w:rsidRPr="00AE2357">
        <w:rPr>
          <w:sz w:val="28"/>
          <w:szCs w:val="28"/>
        </w:rPr>
        <w:t xml:space="preserve">thay thế Nghị quyết số 18/2010/NQ-HĐND ngày 14 tháng 12 năm 2010 của Hội đồng nhân dân tỉnh Bình Phước </w:t>
      </w:r>
      <w:r w:rsidR="00D17828">
        <w:rPr>
          <w:sz w:val="28"/>
          <w:szCs w:val="28"/>
        </w:rPr>
        <w:t>q</w:t>
      </w:r>
      <w:r w:rsidRPr="00AE2357">
        <w:rPr>
          <w:sz w:val="28"/>
          <w:szCs w:val="28"/>
        </w:rPr>
        <w:t>uy định chính sách ưu đãi của tỉnh đối với các trường chuyên biệt (trường trung học phổ thông chuyên công lập và trường phổ thông dân tộc nội trú) trên địa bàn tỉnh Bình Phước./.</w:t>
      </w:r>
    </w:p>
    <w:tbl>
      <w:tblPr>
        <w:tblW w:w="9572" w:type="dxa"/>
        <w:tblLook w:val="04A0"/>
      </w:tblPr>
      <w:tblGrid>
        <w:gridCol w:w="6345"/>
        <w:gridCol w:w="3227"/>
      </w:tblGrid>
      <w:tr w:rsidR="00910E48" w:rsidRPr="00986185" w:rsidTr="00FD0115">
        <w:tc>
          <w:tcPr>
            <w:tcW w:w="6345" w:type="dxa"/>
            <w:shd w:val="clear" w:color="auto" w:fill="auto"/>
          </w:tcPr>
          <w:p w:rsidR="00910E48" w:rsidRPr="00986185" w:rsidRDefault="00910E48" w:rsidP="00991378">
            <w:pPr>
              <w:spacing w:before="240"/>
              <w:rPr>
                <w:b/>
                <w:i/>
                <w:lang w:val="nl-NL"/>
              </w:rPr>
            </w:pPr>
            <w:r w:rsidRPr="00986185">
              <w:rPr>
                <w:b/>
                <w:i/>
                <w:lang w:val="nl-NL"/>
              </w:rPr>
              <w:t>N</w:t>
            </w:r>
            <w:r w:rsidRPr="00986185">
              <w:rPr>
                <w:rFonts w:hint="cs"/>
                <w:b/>
                <w:i/>
                <w:lang w:val="nl-NL"/>
              </w:rPr>
              <w:t>ơ</w:t>
            </w:r>
            <w:r w:rsidRPr="00986185">
              <w:rPr>
                <w:b/>
                <w:i/>
                <w:lang w:val="nl-NL"/>
              </w:rPr>
              <w:t>i nhận:</w:t>
            </w:r>
          </w:p>
          <w:p w:rsidR="00910E48" w:rsidRPr="00CF4CAF" w:rsidRDefault="007A58DE" w:rsidP="00991378">
            <w:pPr>
              <w:rPr>
                <w:sz w:val="22"/>
                <w:lang w:val="nl-NL"/>
              </w:rPr>
            </w:pPr>
            <w:r>
              <w:rPr>
                <w:sz w:val="22"/>
                <w:szCs w:val="22"/>
                <w:lang w:val="nl-NL"/>
              </w:rPr>
              <w:t>- Ủy ban t</w:t>
            </w:r>
            <w:r w:rsidR="00910E48" w:rsidRPr="00CF4CAF">
              <w:rPr>
                <w:sz w:val="22"/>
                <w:szCs w:val="22"/>
                <w:lang w:val="nl-NL"/>
              </w:rPr>
              <w:t>hường vụ Quốc hội, Chính phủ;</w:t>
            </w:r>
          </w:p>
          <w:p w:rsidR="00910E48" w:rsidRDefault="00910E48" w:rsidP="00991378">
            <w:pPr>
              <w:rPr>
                <w:sz w:val="22"/>
                <w:lang w:val="nl-NL"/>
              </w:rPr>
            </w:pPr>
            <w:r w:rsidRPr="00CF4CAF">
              <w:rPr>
                <w:sz w:val="22"/>
                <w:szCs w:val="22"/>
                <w:lang w:val="nl-NL"/>
              </w:rPr>
              <w:t>- VPQH, VPCP, Bộ Tài chính, Bộ Tư pháp (Cục KTVB),</w:t>
            </w:r>
          </w:p>
          <w:p w:rsidR="00910E48" w:rsidRPr="00CF4CAF" w:rsidRDefault="00910E48" w:rsidP="00991378">
            <w:pPr>
              <w:rPr>
                <w:sz w:val="22"/>
                <w:lang w:val="nl-NL"/>
              </w:rPr>
            </w:pPr>
            <w:r w:rsidRPr="00CF4CAF">
              <w:rPr>
                <w:sz w:val="22"/>
                <w:szCs w:val="22"/>
                <w:lang w:val="nl-NL"/>
              </w:rPr>
              <w:t xml:space="preserve">Bộ </w:t>
            </w:r>
            <w:r>
              <w:rPr>
                <w:sz w:val="22"/>
                <w:szCs w:val="22"/>
                <w:lang w:val="nl-NL"/>
              </w:rPr>
              <w:t>Giáo dục và Đào tạo</w:t>
            </w:r>
            <w:r w:rsidRPr="00CF4CAF">
              <w:rPr>
                <w:sz w:val="22"/>
                <w:szCs w:val="22"/>
                <w:lang w:val="nl-NL"/>
              </w:rPr>
              <w:t>;</w:t>
            </w:r>
          </w:p>
          <w:p w:rsidR="00910E48" w:rsidRPr="00CF4CAF" w:rsidRDefault="00910E48" w:rsidP="00991378">
            <w:pPr>
              <w:rPr>
                <w:sz w:val="22"/>
                <w:lang w:val="nl-NL"/>
              </w:rPr>
            </w:pPr>
            <w:r w:rsidRPr="00CF4CAF">
              <w:rPr>
                <w:sz w:val="22"/>
                <w:szCs w:val="22"/>
                <w:lang w:val="nl-NL"/>
              </w:rPr>
              <w:t xml:space="preserve">- TTTU, TTHĐND, Đoàn ĐBQH, UBND, </w:t>
            </w:r>
            <w:r w:rsidR="007A58DE">
              <w:rPr>
                <w:sz w:val="22"/>
                <w:szCs w:val="22"/>
                <w:lang w:val="nl-NL"/>
              </w:rPr>
              <w:t>BTT</w:t>
            </w:r>
            <w:r w:rsidRPr="00CF4CAF">
              <w:rPr>
                <w:sz w:val="22"/>
                <w:szCs w:val="22"/>
                <w:lang w:val="nl-NL"/>
              </w:rPr>
              <w:t>UBMTTQVN tỉnh;</w:t>
            </w:r>
          </w:p>
          <w:p w:rsidR="00910E48" w:rsidRPr="00CF4CAF" w:rsidRDefault="00910E48" w:rsidP="00991378">
            <w:pPr>
              <w:rPr>
                <w:sz w:val="22"/>
                <w:lang w:val="nl-NL"/>
              </w:rPr>
            </w:pPr>
            <w:r w:rsidRPr="00CF4CAF">
              <w:rPr>
                <w:sz w:val="22"/>
                <w:szCs w:val="22"/>
                <w:lang w:val="nl-NL"/>
              </w:rPr>
              <w:t>- Các Ban của HĐND tỉnh;</w:t>
            </w:r>
          </w:p>
          <w:p w:rsidR="00910E48" w:rsidRPr="00CF4CAF" w:rsidRDefault="00910E48" w:rsidP="00991378">
            <w:pPr>
              <w:rPr>
                <w:sz w:val="22"/>
                <w:lang w:val="nl-NL"/>
              </w:rPr>
            </w:pPr>
            <w:r w:rsidRPr="00CF4CAF">
              <w:rPr>
                <w:sz w:val="22"/>
                <w:szCs w:val="22"/>
                <w:lang w:val="nl-NL"/>
              </w:rPr>
              <w:t>- Đại biểu HĐND tỉnh;</w:t>
            </w:r>
          </w:p>
          <w:p w:rsidR="00910E48" w:rsidRPr="00CF4CAF" w:rsidRDefault="00910E48" w:rsidP="00991378">
            <w:pPr>
              <w:rPr>
                <w:sz w:val="22"/>
                <w:lang w:val="nl-NL"/>
              </w:rPr>
            </w:pPr>
            <w:r w:rsidRPr="00CF4CAF">
              <w:rPr>
                <w:sz w:val="22"/>
                <w:szCs w:val="22"/>
                <w:lang w:val="nl-NL"/>
              </w:rPr>
              <w:t>- Các cơ quan chuyên môn thuộc UBND tỉnh;</w:t>
            </w:r>
          </w:p>
          <w:p w:rsidR="00910E48" w:rsidRPr="00CF4CAF" w:rsidRDefault="00910E48" w:rsidP="00991378">
            <w:pPr>
              <w:rPr>
                <w:sz w:val="22"/>
                <w:lang w:val="nl-NL"/>
              </w:rPr>
            </w:pPr>
            <w:r w:rsidRPr="00CF4CAF">
              <w:rPr>
                <w:sz w:val="22"/>
                <w:szCs w:val="22"/>
                <w:lang w:val="nl-NL"/>
              </w:rPr>
              <w:t>- HĐND, UBND các huyện, thị xã, thành phố;</w:t>
            </w:r>
          </w:p>
          <w:p w:rsidR="00910E48" w:rsidRPr="00CF4CAF" w:rsidRDefault="006A38BB" w:rsidP="00991378">
            <w:pPr>
              <w:rPr>
                <w:sz w:val="22"/>
                <w:bdr w:val="none" w:sz="0" w:space="0" w:color="auto" w:frame="1"/>
              </w:rPr>
            </w:pPr>
            <w:r>
              <w:rPr>
                <w:sz w:val="22"/>
                <w:szCs w:val="22"/>
                <w:bdr w:val="none" w:sz="0" w:space="0" w:color="auto" w:frame="1"/>
              </w:rPr>
              <w:t>- Trung tâm CNTT và TT</w:t>
            </w:r>
            <w:r w:rsidR="00910E48" w:rsidRPr="00CF4CAF">
              <w:rPr>
                <w:sz w:val="22"/>
                <w:szCs w:val="22"/>
                <w:bdr w:val="none" w:sz="0" w:space="0" w:color="auto" w:frame="1"/>
              </w:rPr>
              <w:t>;</w:t>
            </w:r>
          </w:p>
          <w:p w:rsidR="00910E48" w:rsidRPr="00CF4CAF" w:rsidRDefault="00910E48" w:rsidP="00991378">
            <w:pPr>
              <w:rPr>
                <w:sz w:val="22"/>
                <w:lang w:val="nl-NL"/>
              </w:rPr>
            </w:pPr>
            <w:r w:rsidRPr="00CF4CAF">
              <w:rPr>
                <w:sz w:val="22"/>
                <w:szCs w:val="22"/>
                <w:lang w:val="nl-NL"/>
              </w:rPr>
              <w:t>- LĐVP, Phòng Tổng hợp;</w:t>
            </w:r>
          </w:p>
          <w:p w:rsidR="00910E48" w:rsidRPr="00986185" w:rsidRDefault="00910E48" w:rsidP="00991378">
            <w:pPr>
              <w:rPr>
                <w:sz w:val="20"/>
                <w:szCs w:val="20"/>
                <w:lang w:val="nl-NL"/>
              </w:rPr>
            </w:pPr>
            <w:r w:rsidRPr="00CF4CAF">
              <w:rPr>
                <w:sz w:val="22"/>
                <w:szCs w:val="22"/>
                <w:lang w:val="nl-NL"/>
              </w:rPr>
              <w:t>- Lưu: VT.</w:t>
            </w:r>
          </w:p>
        </w:tc>
        <w:tc>
          <w:tcPr>
            <w:tcW w:w="3227" w:type="dxa"/>
            <w:shd w:val="clear" w:color="auto" w:fill="auto"/>
          </w:tcPr>
          <w:p w:rsidR="00910E48" w:rsidRPr="005A14A4" w:rsidRDefault="00FD0115" w:rsidP="00991378">
            <w:pPr>
              <w:pStyle w:val="BodyText2"/>
              <w:tabs>
                <w:tab w:val="left" w:pos="9720"/>
              </w:tabs>
              <w:spacing w:after="0" w:line="240" w:lineRule="auto"/>
              <w:ind w:right="-79"/>
              <w:jc w:val="center"/>
              <w:rPr>
                <w:b/>
                <w:bCs/>
                <w:sz w:val="28"/>
                <w:szCs w:val="28"/>
              </w:rPr>
            </w:pPr>
            <w:r>
              <w:rPr>
                <w:b/>
                <w:bCs/>
                <w:sz w:val="28"/>
                <w:szCs w:val="28"/>
              </w:rPr>
              <w:t xml:space="preserve">        </w:t>
            </w:r>
            <w:r w:rsidR="00910E48" w:rsidRPr="005A14A4">
              <w:rPr>
                <w:b/>
                <w:bCs/>
                <w:sz w:val="28"/>
                <w:szCs w:val="28"/>
              </w:rPr>
              <w:t>KT. CHỦ TỊCH</w:t>
            </w:r>
          </w:p>
          <w:p w:rsidR="00910E48" w:rsidRPr="005A14A4" w:rsidRDefault="00FD0115" w:rsidP="00991378">
            <w:pPr>
              <w:pStyle w:val="BodyText2"/>
              <w:tabs>
                <w:tab w:val="left" w:pos="9720"/>
              </w:tabs>
              <w:spacing w:after="0" w:line="240" w:lineRule="auto"/>
              <w:ind w:right="-79"/>
              <w:jc w:val="center"/>
              <w:rPr>
                <w:b/>
                <w:bCs/>
                <w:sz w:val="28"/>
                <w:szCs w:val="28"/>
              </w:rPr>
            </w:pPr>
            <w:r>
              <w:rPr>
                <w:b/>
                <w:bCs/>
                <w:sz w:val="28"/>
                <w:szCs w:val="28"/>
              </w:rPr>
              <w:t xml:space="preserve">        </w:t>
            </w:r>
            <w:r w:rsidR="00910E48" w:rsidRPr="005A14A4">
              <w:rPr>
                <w:b/>
                <w:bCs/>
                <w:sz w:val="28"/>
                <w:szCs w:val="28"/>
              </w:rPr>
              <w:t>PHÓ CHỦ TỊCH</w:t>
            </w:r>
          </w:p>
          <w:p w:rsidR="00910E48" w:rsidRDefault="00910E48" w:rsidP="00991378">
            <w:pPr>
              <w:spacing w:before="60" w:after="240"/>
              <w:ind w:right="-57"/>
              <w:jc w:val="center"/>
              <w:rPr>
                <w:b/>
                <w:sz w:val="28"/>
                <w:szCs w:val="28"/>
                <w:lang w:val="nl-NL"/>
              </w:rPr>
            </w:pPr>
          </w:p>
          <w:p w:rsidR="00910E48" w:rsidRPr="005A14A4" w:rsidRDefault="00910E48" w:rsidP="00991378">
            <w:pPr>
              <w:rPr>
                <w:sz w:val="28"/>
                <w:szCs w:val="28"/>
                <w:lang w:val="nl-NL"/>
              </w:rPr>
            </w:pPr>
          </w:p>
          <w:p w:rsidR="00910E48" w:rsidRPr="005A14A4" w:rsidRDefault="00910E48" w:rsidP="00991378">
            <w:pPr>
              <w:rPr>
                <w:sz w:val="28"/>
                <w:szCs w:val="28"/>
                <w:lang w:val="nl-NL"/>
              </w:rPr>
            </w:pPr>
          </w:p>
          <w:p w:rsidR="00910E48" w:rsidRPr="005A14A4" w:rsidRDefault="00910E48" w:rsidP="00991378">
            <w:pPr>
              <w:rPr>
                <w:sz w:val="28"/>
                <w:szCs w:val="28"/>
                <w:lang w:val="nl-NL"/>
              </w:rPr>
            </w:pPr>
          </w:p>
          <w:p w:rsidR="00910E48" w:rsidRDefault="00910E48" w:rsidP="00991378">
            <w:pPr>
              <w:rPr>
                <w:sz w:val="28"/>
                <w:szCs w:val="28"/>
                <w:lang w:val="nl-NL"/>
              </w:rPr>
            </w:pPr>
          </w:p>
          <w:p w:rsidR="00910E48" w:rsidRPr="005A14A4" w:rsidRDefault="00910E48" w:rsidP="00991378">
            <w:pPr>
              <w:jc w:val="center"/>
              <w:rPr>
                <w:b/>
                <w:sz w:val="28"/>
                <w:szCs w:val="28"/>
                <w:lang w:val="nl-NL"/>
              </w:rPr>
            </w:pPr>
            <w:r>
              <w:rPr>
                <w:b/>
                <w:sz w:val="28"/>
                <w:szCs w:val="28"/>
                <w:lang w:val="nl-NL"/>
              </w:rPr>
              <w:t xml:space="preserve"> </w:t>
            </w:r>
            <w:r w:rsidR="007A58DE">
              <w:rPr>
                <w:b/>
                <w:sz w:val="28"/>
                <w:szCs w:val="28"/>
                <w:lang w:val="nl-NL"/>
              </w:rPr>
              <w:t xml:space="preserve">         </w:t>
            </w:r>
            <w:r w:rsidRPr="005A14A4">
              <w:rPr>
                <w:b/>
                <w:sz w:val="28"/>
                <w:szCs w:val="28"/>
                <w:lang w:val="nl-NL"/>
              </w:rPr>
              <w:t>Trần Ngọc Trai</w:t>
            </w:r>
          </w:p>
        </w:tc>
      </w:tr>
    </w:tbl>
    <w:p w:rsidR="00910E48" w:rsidRDefault="00910E48" w:rsidP="00AE2357">
      <w:pPr>
        <w:spacing w:after="120"/>
        <w:ind w:firstLine="567"/>
        <w:jc w:val="both"/>
        <w:rPr>
          <w:sz w:val="28"/>
          <w:szCs w:val="28"/>
        </w:rPr>
      </w:pPr>
    </w:p>
    <w:p w:rsidR="00233427" w:rsidRDefault="00233427"/>
    <w:sectPr w:rsidR="00233427" w:rsidSect="00C121B9">
      <w:headerReference w:type="default" r:id="rId6"/>
      <w:footerReference w:type="even" r:id="rId7"/>
      <w:footerReference w:type="default" r:id="rId8"/>
      <w:pgSz w:w="11907" w:h="16840" w:code="9"/>
      <w:pgMar w:top="1134" w:right="851"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BC0" w:rsidRDefault="00A84BC0" w:rsidP="001B53CE">
      <w:r>
        <w:separator/>
      </w:r>
    </w:p>
  </w:endnote>
  <w:endnote w:type="continuationSeparator" w:id="1">
    <w:p w:rsidR="00A84BC0" w:rsidRDefault="00A84BC0" w:rsidP="001B5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0C2" w:rsidRDefault="00B32086" w:rsidP="00CA2C15">
    <w:pPr>
      <w:pStyle w:val="Footer"/>
      <w:framePr w:wrap="around" w:vAnchor="text" w:hAnchor="margin" w:xAlign="center" w:y="1"/>
      <w:rPr>
        <w:rStyle w:val="PageNumber"/>
      </w:rPr>
    </w:pPr>
    <w:r>
      <w:rPr>
        <w:rStyle w:val="PageNumber"/>
      </w:rPr>
      <w:fldChar w:fldCharType="begin"/>
    </w:r>
    <w:r w:rsidR="00962B3C">
      <w:rPr>
        <w:rStyle w:val="PageNumber"/>
      </w:rPr>
      <w:instrText xml:space="preserve">PAGE  </w:instrText>
    </w:r>
    <w:r>
      <w:rPr>
        <w:rStyle w:val="PageNumber"/>
      </w:rPr>
      <w:fldChar w:fldCharType="end"/>
    </w:r>
  </w:p>
  <w:p w:rsidR="00BD60C2" w:rsidRDefault="00A84B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0CB" w:rsidRDefault="006760CB">
    <w:pPr>
      <w:pStyle w:val="Footer"/>
      <w:jc w:val="center"/>
    </w:pPr>
  </w:p>
  <w:p w:rsidR="00BD60C2" w:rsidRDefault="00A84B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BC0" w:rsidRDefault="00A84BC0" w:rsidP="001B53CE">
      <w:r>
        <w:separator/>
      </w:r>
    </w:p>
  </w:footnote>
  <w:footnote w:type="continuationSeparator" w:id="1">
    <w:p w:rsidR="00A84BC0" w:rsidRDefault="00A84BC0" w:rsidP="001B5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44422"/>
      <w:docPartObj>
        <w:docPartGallery w:val="Page Numbers (Top of Page)"/>
        <w:docPartUnique/>
      </w:docPartObj>
    </w:sdtPr>
    <w:sdtContent>
      <w:p w:rsidR="00581A5A" w:rsidRDefault="00B32086">
        <w:pPr>
          <w:pStyle w:val="Header"/>
          <w:jc w:val="center"/>
        </w:pPr>
        <w:fldSimple w:instr=" PAGE   \* MERGEFORMAT ">
          <w:r w:rsidR="00273667">
            <w:rPr>
              <w:noProof/>
            </w:rPr>
            <w:t>3</w:t>
          </w:r>
        </w:fldSimple>
      </w:p>
    </w:sdtContent>
  </w:sdt>
  <w:p w:rsidR="00581A5A" w:rsidRDefault="00581A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4D5800"/>
    <w:rsid w:val="00064189"/>
    <w:rsid w:val="0015708F"/>
    <w:rsid w:val="001B53CE"/>
    <w:rsid w:val="001F4BFD"/>
    <w:rsid w:val="0020003A"/>
    <w:rsid w:val="00233427"/>
    <w:rsid w:val="0025569E"/>
    <w:rsid w:val="00273667"/>
    <w:rsid w:val="002F6864"/>
    <w:rsid w:val="00326D39"/>
    <w:rsid w:val="00340540"/>
    <w:rsid w:val="004051FD"/>
    <w:rsid w:val="00477080"/>
    <w:rsid w:val="004921EB"/>
    <w:rsid w:val="004A121E"/>
    <w:rsid w:val="004D5800"/>
    <w:rsid w:val="00581A5A"/>
    <w:rsid w:val="00670EFA"/>
    <w:rsid w:val="006760CB"/>
    <w:rsid w:val="006A38BB"/>
    <w:rsid w:val="007154CB"/>
    <w:rsid w:val="007942F2"/>
    <w:rsid w:val="007A58DE"/>
    <w:rsid w:val="007E51E1"/>
    <w:rsid w:val="00836054"/>
    <w:rsid w:val="0088615C"/>
    <w:rsid w:val="00910E48"/>
    <w:rsid w:val="00962B3C"/>
    <w:rsid w:val="00A84BC0"/>
    <w:rsid w:val="00AD3BAA"/>
    <w:rsid w:val="00AE2357"/>
    <w:rsid w:val="00B32086"/>
    <w:rsid w:val="00B34D80"/>
    <w:rsid w:val="00BA0AD2"/>
    <w:rsid w:val="00BB4F60"/>
    <w:rsid w:val="00C07738"/>
    <w:rsid w:val="00C121B9"/>
    <w:rsid w:val="00D17828"/>
    <w:rsid w:val="00D903E0"/>
    <w:rsid w:val="00EE7FDF"/>
    <w:rsid w:val="00F0785E"/>
    <w:rsid w:val="00F61468"/>
    <w:rsid w:val="00FD0115"/>
    <w:rsid w:val="00FF2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0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qFormat/>
    <w:rsid w:val="004D5800"/>
    <w:pPr>
      <w:spacing w:before="100" w:beforeAutospacing="1" w:after="100" w:afterAutospacing="1"/>
    </w:pPr>
  </w:style>
  <w:style w:type="paragraph" w:styleId="Footer">
    <w:name w:val="footer"/>
    <w:basedOn w:val="Normal"/>
    <w:link w:val="FooterChar"/>
    <w:uiPriority w:val="99"/>
    <w:rsid w:val="004D5800"/>
    <w:pPr>
      <w:tabs>
        <w:tab w:val="center" w:pos="4320"/>
        <w:tab w:val="right" w:pos="8640"/>
      </w:tabs>
    </w:pPr>
  </w:style>
  <w:style w:type="character" w:customStyle="1" w:styleId="FooterChar">
    <w:name w:val="Footer Char"/>
    <w:basedOn w:val="DefaultParagraphFont"/>
    <w:link w:val="Footer"/>
    <w:uiPriority w:val="99"/>
    <w:rsid w:val="004D5800"/>
    <w:rPr>
      <w:rFonts w:eastAsia="Times New Roman" w:cs="Times New Roman"/>
      <w:sz w:val="24"/>
      <w:szCs w:val="24"/>
    </w:rPr>
  </w:style>
  <w:style w:type="character" w:styleId="PageNumber">
    <w:name w:val="page number"/>
    <w:basedOn w:val="DefaultParagraphFont"/>
    <w:rsid w:val="004D5800"/>
  </w:style>
  <w:style w:type="character" w:customStyle="1" w:styleId="NormalWebChar1">
    <w:name w:val="Normal (Web) Char1"/>
    <w:aliases w:val="Normal (Web) Char Char"/>
    <w:link w:val="NormalWeb"/>
    <w:locked/>
    <w:rsid w:val="001B53CE"/>
    <w:rPr>
      <w:rFonts w:eastAsia="Times New Roman" w:cs="Times New Roman"/>
      <w:sz w:val="24"/>
      <w:szCs w:val="24"/>
    </w:rPr>
  </w:style>
  <w:style w:type="paragraph" w:styleId="Header">
    <w:name w:val="header"/>
    <w:basedOn w:val="Normal"/>
    <w:link w:val="HeaderChar"/>
    <w:uiPriority w:val="99"/>
    <w:unhideWhenUsed/>
    <w:rsid w:val="001B53CE"/>
    <w:pPr>
      <w:tabs>
        <w:tab w:val="center" w:pos="4680"/>
        <w:tab w:val="right" w:pos="9360"/>
      </w:tabs>
    </w:pPr>
  </w:style>
  <w:style w:type="character" w:customStyle="1" w:styleId="HeaderChar">
    <w:name w:val="Header Char"/>
    <w:basedOn w:val="DefaultParagraphFont"/>
    <w:link w:val="Header"/>
    <w:uiPriority w:val="99"/>
    <w:rsid w:val="001B53CE"/>
    <w:rPr>
      <w:rFonts w:eastAsia="Times New Roman" w:cs="Times New Roman"/>
      <w:sz w:val="24"/>
      <w:szCs w:val="24"/>
    </w:rPr>
  </w:style>
  <w:style w:type="paragraph" w:styleId="BodyText2">
    <w:name w:val="Body Text 2"/>
    <w:basedOn w:val="Normal"/>
    <w:link w:val="BodyText2Char"/>
    <w:rsid w:val="00910E48"/>
    <w:pPr>
      <w:spacing w:after="120" w:line="480" w:lineRule="auto"/>
    </w:pPr>
  </w:style>
  <w:style w:type="character" w:customStyle="1" w:styleId="BodyText2Char">
    <w:name w:val="Body Text 2 Char"/>
    <w:basedOn w:val="DefaultParagraphFont"/>
    <w:link w:val="BodyText2"/>
    <w:rsid w:val="00910E48"/>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16E2C-CD23-472F-AD21-9EAF3D929C22}"/>
</file>

<file path=customXml/itemProps2.xml><?xml version="1.0" encoding="utf-8"?>
<ds:datastoreItem xmlns:ds="http://schemas.openxmlformats.org/officeDocument/2006/customXml" ds:itemID="{28EF3A7B-DD21-4C33-8B86-4E8299DC74EE}"/>
</file>

<file path=customXml/itemProps3.xml><?xml version="1.0" encoding="utf-8"?>
<ds:datastoreItem xmlns:ds="http://schemas.openxmlformats.org/officeDocument/2006/customXml" ds:itemID="{FB992EC1-73F0-4402-B4E4-938088D5937B}"/>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khanhvd</dc:creator>
  <cp:lastModifiedBy>D_D</cp:lastModifiedBy>
  <cp:revision>2</cp:revision>
  <cp:lastPrinted>2019-12-16T07:28:00Z</cp:lastPrinted>
  <dcterms:created xsi:type="dcterms:W3CDTF">2020-01-03T03:19:00Z</dcterms:created>
  <dcterms:modified xsi:type="dcterms:W3CDTF">2020-01-03T03:19:00Z</dcterms:modified>
</cp:coreProperties>
</file>