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44" w:type="dxa"/>
        <w:jc w:val="center"/>
        <w:tblCellMar>
          <w:left w:w="0" w:type="dxa"/>
          <w:right w:w="0" w:type="dxa"/>
        </w:tblCellMar>
        <w:tblLook w:val="0000"/>
      </w:tblPr>
      <w:tblGrid>
        <w:gridCol w:w="3240"/>
        <w:gridCol w:w="5904"/>
      </w:tblGrid>
      <w:tr w:rsidR="003D528A" w:rsidRPr="003D528A">
        <w:trPr>
          <w:divId w:val="2118258417"/>
          <w:jc w:val="center"/>
        </w:trPr>
        <w:tc>
          <w:tcPr>
            <w:tcW w:w="3240" w:type="dxa"/>
          </w:tcPr>
          <w:p w:rsidR="003D528A" w:rsidRPr="003D528A" w:rsidRDefault="003D528A">
            <w:pPr>
              <w:pStyle w:val="NormalWeb"/>
              <w:spacing w:before="120" w:beforeAutospacing="0"/>
              <w:jc w:val="center"/>
              <w:rPr>
                <w:sz w:val="26"/>
                <w:szCs w:val="28"/>
              </w:rPr>
            </w:pPr>
          </w:p>
        </w:tc>
        <w:tc>
          <w:tcPr>
            <w:tcW w:w="5904" w:type="dxa"/>
          </w:tcPr>
          <w:p w:rsidR="003D528A" w:rsidRPr="003D528A" w:rsidRDefault="00D7011B">
            <w:pPr>
              <w:pStyle w:val="NormalWeb"/>
              <w:spacing w:before="120" w:beforeAutospacing="0"/>
              <w:jc w:val="center"/>
              <w:rPr>
                <w:sz w:val="26"/>
                <w:szCs w:val="28"/>
              </w:rPr>
            </w:pPr>
            <w:r w:rsidRPr="00D7011B">
              <w:rPr>
                <w:b/>
                <w:bCs/>
                <w:noProof/>
                <w:sz w:val="26"/>
                <w:szCs w:val="28"/>
              </w:rPr>
              <w:pict>
                <v:line id="_x0000_s1030" style="position:absolute;left:0;text-align:left;z-index:251658752;mso-position-horizontal-relative:text;mso-position-vertical-relative:text" from="78pt,42.3pt" to="212.25pt,42.3pt"/>
              </w:pict>
            </w:r>
            <w:r w:rsidR="003D528A" w:rsidRPr="003D528A">
              <w:rPr>
                <w:b/>
                <w:bCs/>
                <w:sz w:val="26"/>
                <w:szCs w:val="28"/>
                <w:lang w:val="vi-VN"/>
              </w:rPr>
              <w:t>CỘNG HÒA XÃ HỘI CHỦ NGHĨA VIỆT NAM</w:t>
            </w:r>
            <w:r w:rsidR="003D528A" w:rsidRPr="003D528A">
              <w:rPr>
                <w:b/>
                <w:bCs/>
                <w:sz w:val="26"/>
                <w:szCs w:val="28"/>
                <w:lang w:val="vi-VN"/>
              </w:rPr>
              <w:br/>
              <w:t>Độc lập - Tự do - Hạnh phúc</w:t>
            </w:r>
            <w:r w:rsidR="003D528A" w:rsidRPr="003D528A">
              <w:rPr>
                <w:b/>
                <w:bCs/>
                <w:sz w:val="26"/>
                <w:szCs w:val="28"/>
                <w:lang w:val="vi-VN"/>
              </w:rPr>
              <w:br/>
            </w:r>
          </w:p>
        </w:tc>
      </w:tr>
      <w:tr w:rsidR="003D528A" w:rsidRPr="003D528A">
        <w:trPr>
          <w:divId w:val="2118258417"/>
          <w:jc w:val="center"/>
        </w:trPr>
        <w:tc>
          <w:tcPr>
            <w:tcW w:w="3240" w:type="dxa"/>
          </w:tcPr>
          <w:p w:rsidR="003D528A" w:rsidRPr="003D528A" w:rsidRDefault="003D528A">
            <w:pPr>
              <w:pStyle w:val="NormalWeb"/>
              <w:spacing w:before="120" w:beforeAutospacing="0"/>
              <w:jc w:val="center"/>
              <w:rPr>
                <w:sz w:val="26"/>
                <w:szCs w:val="28"/>
              </w:rPr>
            </w:pPr>
          </w:p>
        </w:tc>
        <w:tc>
          <w:tcPr>
            <w:tcW w:w="5904" w:type="dxa"/>
          </w:tcPr>
          <w:p w:rsidR="003D528A" w:rsidRPr="003D528A" w:rsidRDefault="003D528A">
            <w:pPr>
              <w:pStyle w:val="NormalWeb"/>
              <w:spacing w:before="120" w:beforeAutospacing="0"/>
              <w:jc w:val="right"/>
              <w:rPr>
                <w:sz w:val="26"/>
                <w:szCs w:val="28"/>
              </w:rPr>
            </w:pPr>
          </w:p>
        </w:tc>
      </w:tr>
    </w:tbl>
    <w:p w:rsidR="003D528A" w:rsidRPr="003D528A" w:rsidRDefault="003D528A" w:rsidP="00CD431C">
      <w:pPr>
        <w:pStyle w:val="NormalWeb"/>
        <w:spacing w:before="120" w:beforeAutospacing="0" w:after="120" w:afterAutospacing="0"/>
        <w:jc w:val="center"/>
        <w:divId w:val="2118258417"/>
        <w:rPr>
          <w:sz w:val="28"/>
          <w:szCs w:val="28"/>
        </w:rPr>
      </w:pPr>
      <w:bookmarkStart w:id="0" w:name="loai_1"/>
      <w:r w:rsidRPr="003D528A">
        <w:rPr>
          <w:b/>
          <w:bCs/>
          <w:sz w:val="28"/>
          <w:szCs w:val="28"/>
          <w:lang w:val="vi-VN"/>
        </w:rPr>
        <w:t>THÔNG TƯ</w:t>
      </w:r>
      <w:bookmarkEnd w:id="0"/>
    </w:p>
    <w:p w:rsidR="003D528A" w:rsidRPr="003D528A" w:rsidRDefault="003D528A" w:rsidP="003D528A">
      <w:pPr>
        <w:pStyle w:val="NormalWeb"/>
        <w:spacing w:before="0" w:beforeAutospacing="0" w:after="0" w:afterAutospacing="0"/>
        <w:jc w:val="center"/>
        <w:divId w:val="2118258417"/>
        <w:rPr>
          <w:rStyle w:val="apple-style-span"/>
          <w:b/>
          <w:color w:val="000000"/>
          <w:sz w:val="28"/>
          <w:szCs w:val="18"/>
        </w:rPr>
      </w:pPr>
      <w:r w:rsidRPr="003D528A">
        <w:rPr>
          <w:rStyle w:val="apple-style-span"/>
          <w:b/>
          <w:color w:val="000000"/>
          <w:sz w:val="28"/>
          <w:szCs w:val="18"/>
        </w:rPr>
        <w:t xml:space="preserve">Quy định về phân loại tài sản có và cam kết ngoại bảng </w:t>
      </w:r>
    </w:p>
    <w:p w:rsidR="003D528A" w:rsidRPr="003D528A" w:rsidRDefault="003D528A" w:rsidP="003D528A">
      <w:pPr>
        <w:pStyle w:val="NormalWeb"/>
        <w:spacing w:before="0" w:beforeAutospacing="0" w:after="0" w:afterAutospacing="0"/>
        <w:jc w:val="center"/>
        <w:divId w:val="2118258417"/>
        <w:rPr>
          <w:rStyle w:val="apple-style-span"/>
          <w:b/>
          <w:color w:val="000000"/>
          <w:sz w:val="28"/>
          <w:szCs w:val="18"/>
        </w:rPr>
      </w:pPr>
      <w:r w:rsidRPr="003D528A">
        <w:rPr>
          <w:rStyle w:val="apple-style-span"/>
          <w:b/>
          <w:color w:val="000000"/>
          <w:sz w:val="28"/>
          <w:szCs w:val="18"/>
        </w:rPr>
        <w:t xml:space="preserve">của Ngân hàng Phát triển Việt </w:t>
      </w:r>
      <w:smartTag w:uri="urn:schemas-microsoft-com:office:smarttags" w:element="country-region">
        <w:smartTag w:uri="urn:schemas-microsoft-com:office:smarttags" w:element="place">
          <w:r w:rsidRPr="003D528A">
            <w:rPr>
              <w:rStyle w:val="apple-style-span"/>
              <w:b/>
              <w:color w:val="000000"/>
              <w:sz w:val="28"/>
              <w:szCs w:val="18"/>
            </w:rPr>
            <w:t>Nam</w:t>
          </w:r>
        </w:smartTag>
      </w:smartTag>
    </w:p>
    <w:p w:rsidR="003D528A" w:rsidRPr="003D528A" w:rsidRDefault="003D528A" w:rsidP="003D528A">
      <w:pPr>
        <w:pStyle w:val="NormalWeb"/>
        <w:spacing w:before="0" w:beforeAutospacing="0" w:after="0" w:afterAutospacing="0"/>
        <w:jc w:val="center"/>
        <w:divId w:val="2118258417"/>
        <w:rPr>
          <w:rStyle w:val="apple-style-span"/>
          <w:b/>
          <w:color w:val="000000"/>
          <w:sz w:val="28"/>
          <w:szCs w:val="18"/>
        </w:rPr>
      </w:pPr>
    </w:p>
    <w:p w:rsidR="003639BA" w:rsidRDefault="003639BA" w:rsidP="003639BA">
      <w:pPr>
        <w:tabs>
          <w:tab w:val="left" w:pos="567"/>
        </w:tabs>
        <w:spacing w:before="120" w:after="120" w:line="360" w:lineRule="exact"/>
        <w:jc w:val="both"/>
        <w:divId w:val="2118258417"/>
        <w:rPr>
          <w:sz w:val="28"/>
        </w:rPr>
      </w:pPr>
      <w:r>
        <w:rPr>
          <w:iCs/>
          <w:sz w:val="28"/>
          <w:szCs w:val="28"/>
        </w:rPr>
        <w:tab/>
        <w:t xml:space="preserve">Thông tư số 24/2013/TT-NHNN ngày 02 tháng 12 năm 2013 </w:t>
      </w:r>
      <w:r w:rsidRPr="006E0D32">
        <w:rPr>
          <w:sz w:val="28"/>
        </w:rPr>
        <w:t>của Thống đốc Ngân hàng Nhà nước Việt Nam</w:t>
      </w:r>
      <w:r>
        <w:rPr>
          <w:sz w:val="28"/>
        </w:rPr>
        <w:t xml:space="preserve"> </w:t>
      </w:r>
      <w:r w:rsidRPr="003639BA">
        <w:rPr>
          <w:iCs/>
          <w:sz w:val="28"/>
          <w:szCs w:val="28"/>
          <w:lang w:val="vi-VN"/>
        </w:rPr>
        <w:t>quy định về phân loại tài sản c</w:t>
      </w:r>
      <w:r w:rsidRPr="003639BA">
        <w:rPr>
          <w:iCs/>
          <w:sz w:val="28"/>
          <w:szCs w:val="28"/>
        </w:rPr>
        <w:t xml:space="preserve">ó </w:t>
      </w:r>
      <w:r w:rsidRPr="003639BA">
        <w:rPr>
          <w:iCs/>
          <w:sz w:val="28"/>
          <w:szCs w:val="28"/>
          <w:lang w:val="vi-VN"/>
        </w:rPr>
        <w:t>và cam k</w:t>
      </w:r>
      <w:r w:rsidRPr="003639BA">
        <w:rPr>
          <w:iCs/>
          <w:sz w:val="28"/>
          <w:szCs w:val="28"/>
        </w:rPr>
        <w:t>ế</w:t>
      </w:r>
      <w:r w:rsidRPr="003639BA">
        <w:rPr>
          <w:iCs/>
          <w:sz w:val="28"/>
          <w:szCs w:val="28"/>
          <w:lang w:val="vi-VN"/>
        </w:rPr>
        <w:t xml:space="preserve">t ngoại bảng của Ngân hàng Phát </w:t>
      </w:r>
      <w:r w:rsidRPr="003639BA">
        <w:rPr>
          <w:iCs/>
          <w:sz w:val="28"/>
          <w:szCs w:val="28"/>
        </w:rPr>
        <w:t>t</w:t>
      </w:r>
      <w:r w:rsidRPr="003639BA">
        <w:rPr>
          <w:iCs/>
          <w:sz w:val="28"/>
          <w:szCs w:val="28"/>
          <w:lang w:val="vi-VN"/>
        </w:rPr>
        <w:t>riển Việt Nam</w:t>
      </w:r>
      <w:r>
        <w:rPr>
          <w:iCs/>
          <w:sz w:val="28"/>
          <w:szCs w:val="28"/>
        </w:rPr>
        <w:t xml:space="preserve">, </w:t>
      </w:r>
      <w:r>
        <w:rPr>
          <w:sz w:val="28"/>
        </w:rPr>
        <w:t>có hiệu lực kể từ ngày 15 tháng 01</w:t>
      </w:r>
      <w:r w:rsidRPr="006E0D32">
        <w:rPr>
          <w:sz w:val="28"/>
        </w:rPr>
        <w:t xml:space="preserve"> năm 2014, được sửa đổi, bổ sung bởi:</w:t>
      </w:r>
    </w:p>
    <w:p w:rsidR="003639BA" w:rsidRPr="003639BA" w:rsidRDefault="003639BA" w:rsidP="003639BA">
      <w:pPr>
        <w:tabs>
          <w:tab w:val="left" w:pos="567"/>
        </w:tabs>
        <w:spacing w:before="120" w:after="120" w:line="360" w:lineRule="exact"/>
        <w:jc w:val="both"/>
        <w:divId w:val="2118258417"/>
        <w:rPr>
          <w:sz w:val="28"/>
          <w:szCs w:val="28"/>
        </w:rPr>
      </w:pPr>
      <w:r w:rsidRPr="003639BA">
        <w:rPr>
          <w:sz w:val="28"/>
          <w:szCs w:val="28"/>
        </w:rPr>
        <w:tab/>
        <w:t>Thông tư số 04/2019/TT-NHNN ngày 29 tháng 3 năm 2019 của Thống đốc Ngân hàng Nhà nước  Việt Nam sửa đổi, bổ sung một số điều của Thông tư số 24/2013/TT-NHNN ngày 02 tháng 12 năm 2013 của Thống đốc Ngân hàng Nhà nước Việt Nam quy định về phân loại tài sản có và cam kết ngoại bảng của Ngân hàng Phát triển Việt Nam</w:t>
      </w:r>
      <w:r>
        <w:rPr>
          <w:sz w:val="28"/>
        </w:rPr>
        <w:t>, có hiệu lực kể từ ngày 15 tháng 5 năm 2019</w:t>
      </w:r>
      <w:r w:rsidRPr="006E0D32">
        <w:rPr>
          <w:sz w:val="28"/>
        </w:rPr>
        <w:t>.</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i/>
          <w:iCs/>
          <w:sz w:val="28"/>
          <w:szCs w:val="28"/>
          <w:lang w:val="vi-VN"/>
        </w:rPr>
        <w:t>Căn cứ Luật Ngân hàng Nhà nước Việt Nam s</w:t>
      </w:r>
      <w:r w:rsidRPr="003D528A">
        <w:rPr>
          <w:i/>
          <w:iCs/>
          <w:sz w:val="28"/>
          <w:szCs w:val="28"/>
        </w:rPr>
        <w:t>ố</w:t>
      </w:r>
      <w:r w:rsidRPr="003D528A">
        <w:rPr>
          <w:i/>
          <w:iCs/>
          <w:sz w:val="28"/>
          <w:szCs w:val="28"/>
          <w:lang w:val="vi-VN"/>
        </w:rPr>
        <w:t xml:space="preserve"> 46/2010/QH12 ngày 16 tháng 6 năm 2010;</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i/>
          <w:iCs/>
          <w:sz w:val="28"/>
          <w:szCs w:val="28"/>
          <w:lang w:val="vi-VN"/>
        </w:rPr>
        <w:t xml:space="preserve">Căn cứ Luật </w:t>
      </w:r>
      <w:r>
        <w:rPr>
          <w:i/>
          <w:iCs/>
          <w:sz w:val="28"/>
          <w:szCs w:val="28"/>
        </w:rPr>
        <w:t>C</w:t>
      </w:r>
      <w:r w:rsidRPr="003D528A">
        <w:rPr>
          <w:i/>
          <w:iCs/>
          <w:sz w:val="28"/>
          <w:szCs w:val="28"/>
          <w:lang w:val="vi-VN"/>
        </w:rPr>
        <w:t>ác tổ chức tín dụng s</w:t>
      </w:r>
      <w:r w:rsidRPr="003D528A">
        <w:rPr>
          <w:i/>
          <w:iCs/>
          <w:sz w:val="28"/>
          <w:szCs w:val="28"/>
        </w:rPr>
        <w:t>ố</w:t>
      </w:r>
      <w:r w:rsidRPr="003D528A">
        <w:rPr>
          <w:i/>
          <w:iCs/>
          <w:sz w:val="28"/>
          <w:szCs w:val="28"/>
          <w:lang w:val="vi-VN"/>
        </w:rPr>
        <w:t xml:space="preserve"> 47/2010/QH12 ngày 16 tháng 6 năm</w:t>
      </w:r>
      <w:r w:rsidRPr="003D528A">
        <w:rPr>
          <w:i/>
          <w:iCs/>
          <w:sz w:val="28"/>
          <w:szCs w:val="28"/>
        </w:rPr>
        <w:t xml:space="preserve"> 2010;</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i/>
          <w:iCs/>
          <w:sz w:val="28"/>
          <w:szCs w:val="28"/>
          <w:lang w:val="vi-VN"/>
        </w:rPr>
        <w:t>Căn cứ Nghị định s</w:t>
      </w:r>
      <w:r w:rsidRPr="003D528A">
        <w:rPr>
          <w:i/>
          <w:iCs/>
          <w:sz w:val="28"/>
          <w:szCs w:val="28"/>
        </w:rPr>
        <w:t>ố</w:t>
      </w:r>
      <w:r w:rsidRPr="003D528A">
        <w:rPr>
          <w:i/>
          <w:iCs/>
          <w:sz w:val="28"/>
          <w:szCs w:val="28"/>
          <w:lang w:val="vi-VN"/>
        </w:rPr>
        <w:t xml:space="preserve"> 156/2013/NĐ-CP ngày 11 tháng 11 năm 2013 của Chính phủ q</w:t>
      </w:r>
      <w:r w:rsidRPr="003D528A">
        <w:rPr>
          <w:i/>
          <w:iCs/>
          <w:sz w:val="28"/>
          <w:szCs w:val="28"/>
        </w:rPr>
        <w:t>u</w:t>
      </w:r>
      <w:r w:rsidRPr="003D528A">
        <w:rPr>
          <w:i/>
          <w:iCs/>
          <w:sz w:val="28"/>
          <w:szCs w:val="28"/>
          <w:lang w:val="vi-VN"/>
        </w:rPr>
        <w:t>y định chức năng, nhiệm vụ, quyền hạn và cơ c</w:t>
      </w:r>
      <w:r w:rsidRPr="003D528A">
        <w:rPr>
          <w:i/>
          <w:iCs/>
          <w:sz w:val="28"/>
          <w:szCs w:val="28"/>
        </w:rPr>
        <w:t>ấ</w:t>
      </w:r>
      <w:r w:rsidRPr="003D528A">
        <w:rPr>
          <w:i/>
          <w:iCs/>
          <w:sz w:val="28"/>
          <w:szCs w:val="28"/>
          <w:lang w:val="vi-VN"/>
        </w:rPr>
        <w:t>u tổ chức của Ngân h</w:t>
      </w:r>
      <w:r w:rsidRPr="003D528A">
        <w:rPr>
          <w:i/>
          <w:iCs/>
          <w:sz w:val="28"/>
          <w:szCs w:val="28"/>
        </w:rPr>
        <w:t>àn</w:t>
      </w:r>
      <w:r w:rsidRPr="003D528A">
        <w:rPr>
          <w:i/>
          <w:iCs/>
          <w:sz w:val="28"/>
          <w:szCs w:val="28"/>
          <w:lang w:val="vi-VN"/>
        </w:rPr>
        <w:t>g Nhà nước Việt Nam;</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i/>
          <w:iCs/>
          <w:sz w:val="28"/>
          <w:szCs w:val="28"/>
          <w:lang w:val="vi-VN"/>
        </w:rPr>
        <w:t xml:space="preserve">Căn cứ Nghị định </w:t>
      </w:r>
      <w:r w:rsidRPr="003D528A">
        <w:rPr>
          <w:i/>
          <w:iCs/>
          <w:sz w:val="28"/>
          <w:szCs w:val="28"/>
        </w:rPr>
        <w:t xml:space="preserve">số </w:t>
      </w:r>
      <w:r w:rsidRPr="003D528A">
        <w:rPr>
          <w:i/>
          <w:iCs/>
          <w:sz w:val="28"/>
          <w:szCs w:val="28"/>
          <w:lang w:val="vi-VN"/>
        </w:rPr>
        <w:t>75/2011/NĐ-CP ng</w:t>
      </w:r>
      <w:r w:rsidRPr="003D528A">
        <w:rPr>
          <w:i/>
          <w:iCs/>
          <w:sz w:val="28"/>
          <w:szCs w:val="28"/>
        </w:rPr>
        <w:t>à</w:t>
      </w:r>
      <w:r w:rsidRPr="003D528A">
        <w:rPr>
          <w:i/>
          <w:iCs/>
          <w:sz w:val="28"/>
          <w:szCs w:val="28"/>
          <w:lang w:val="vi-VN"/>
        </w:rPr>
        <w:t>y 30 tháng 8 năm 2011 của Ch</w:t>
      </w:r>
      <w:r w:rsidRPr="003D528A">
        <w:rPr>
          <w:i/>
          <w:iCs/>
          <w:sz w:val="28"/>
          <w:szCs w:val="28"/>
        </w:rPr>
        <w:t>í</w:t>
      </w:r>
      <w:r w:rsidRPr="003D528A">
        <w:rPr>
          <w:i/>
          <w:iCs/>
          <w:sz w:val="28"/>
          <w:szCs w:val="28"/>
          <w:lang w:val="vi-VN"/>
        </w:rPr>
        <w:t>nh phủ về tín dụng đầu tư và tín dụng xuất kh</w:t>
      </w:r>
      <w:r w:rsidRPr="003D528A">
        <w:rPr>
          <w:i/>
          <w:iCs/>
          <w:sz w:val="28"/>
          <w:szCs w:val="28"/>
        </w:rPr>
        <w:t>ẩ</w:t>
      </w:r>
      <w:r w:rsidRPr="003D528A">
        <w:rPr>
          <w:i/>
          <w:iCs/>
          <w:sz w:val="28"/>
          <w:szCs w:val="28"/>
          <w:lang w:val="vi-VN"/>
        </w:rPr>
        <w:t>u của Nhà nước;</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i/>
          <w:iCs/>
          <w:sz w:val="28"/>
          <w:szCs w:val="28"/>
          <w:lang w:val="vi-VN"/>
        </w:rPr>
        <w:t xml:space="preserve">Căn cứ Quyết định </w:t>
      </w:r>
      <w:r w:rsidRPr="003D528A">
        <w:rPr>
          <w:i/>
          <w:iCs/>
          <w:sz w:val="28"/>
          <w:szCs w:val="28"/>
        </w:rPr>
        <w:t xml:space="preserve">số </w:t>
      </w:r>
      <w:r w:rsidRPr="003D528A">
        <w:rPr>
          <w:i/>
          <w:iCs/>
          <w:sz w:val="28"/>
          <w:szCs w:val="28"/>
          <w:lang w:val="vi-VN"/>
        </w:rPr>
        <w:t>108/2006/QĐ-TTg ngày 19 tháng 5 năm 2006 của Thủ tướng Chính phủ v</w:t>
      </w:r>
      <w:r w:rsidRPr="003D528A">
        <w:rPr>
          <w:i/>
          <w:iCs/>
          <w:sz w:val="28"/>
          <w:szCs w:val="28"/>
        </w:rPr>
        <w:t xml:space="preserve">ề </w:t>
      </w:r>
      <w:r w:rsidRPr="003D528A">
        <w:rPr>
          <w:i/>
          <w:iCs/>
          <w:sz w:val="28"/>
          <w:szCs w:val="28"/>
          <w:lang w:val="vi-VN"/>
        </w:rPr>
        <w:t>việc thành lập Ngân hàng Phát triển Việt Nam;</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i/>
          <w:iCs/>
          <w:sz w:val="28"/>
          <w:szCs w:val="28"/>
          <w:lang w:val="vi-VN"/>
        </w:rPr>
        <w:t>Căn cứ Quyết định số 44/2007/QĐ-TTg ngày 30/3/2007 của Thủ tướng Chính phủ v</w:t>
      </w:r>
      <w:r w:rsidRPr="003D528A">
        <w:rPr>
          <w:i/>
          <w:iCs/>
          <w:sz w:val="28"/>
          <w:szCs w:val="28"/>
        </w:rPr>
        <w:t xml:space="preserve">ề </w:t>
      </w:r>
      <w:r w:rsidRPr="003D528A">
        <w:rPr>
          <w:i/>
          <w:iCs/>
          <w:sz w:val="28"/>
          <w:szCs w:val="28"/>
          <w:lang w:val="vi-VN"/>
        </w:rPr>
        <w:t>việc ban hành Quy ch</w:t>
      </w:r>
      <w:r w:rsidRPr="003D528A">
        <w:rPr>
          <w:i/>
          <w:iCs/>
          <w:sz w:val="28"/>
          <w:szCs w:val="28"/>
        </w:rPr>
        <w:t xml:space="preserve">ế </w:t>
      </w:r>
      <w:r w:rsidRPr="003D528A">
        <w:rPr>
          <w:i/>
          <w:iCs/>
          <w:sz w:val="28"/>
          <w:szCs w:val="28"/>
          <w:lang w:val="vi-VN"/>
        </w:rPr>
        <w:t>quản l</w:t>
      </w:r>
      <w:r w:rsidRPr="003D528A">
        <w:rPr>
          <w:i/>
          <w:iCs/>
          <w:sz w:val="28"/>
          <w:szCs w:val="28"/>
        </w:rPr>
        <w:t>ý</w:t>
      </w:r>
      <w:r w:rsidRPr="003D528A">
        <w:rPr>
          <w:i/>
          <w:iCs/>
          <w:sz w:val="28"/>
          <w:szCs w:val="28"/>
          <w:lang w:val="vi-VN"/>
        </w:rPr>
        <w:t xml:space="preserve"> tài chính đ</w:t>
      </w:r>
      <w:r w:rsidRPr="003D528A">
        <w:rPr>
          <w:i/>
          <w:iCs/>
          <w:sz w:val="28"/>
          <w:szCs w:val="28"/>
        </w:rPr>
        <w:t>ố</w:t>
      </w:r>
      <w:r w:rsidRPr="003D528A">
        <w:rPr>
          <w:i/>
          <w:iCs/>
          <w:sz w:val="28"/>
          <w:szCs w:val="28"/>
          <w:lang w:val="vi-VN"/>
        </w:rPr>
        <w:t xml:space="preserve">i với Ngân hàng Phát </w:t>
      </w:r>
      <w:r w:rsidRPr="003D528A">
        <w:rPr>
          <w:i/>
          <w:iCs/>
          <w:sz w:val="28"/>
          <w:szCs w:val="28"/>
        </w:rPr>
        <w:t>t</w:t>
      </w:r>
      <w:r w:rsidRPr="003D528A">
        <w:rPr>
          <w:i/>
          <w:iCs/>
          <w:sz w:val="28"/>
          <w:szCs w:val="28"/>
          <w:lang w:val="vi-VN"/>
        </w:rPr>
        <w:t>r</w:t>
      </w:r>
      <w:r w:rsidRPr="003D528A">
        <w:rPr>
          <w:i/>
          <w:iCs/>
          <w:sz w:val="28"/>
          <w:szCs w:val="28"/>
        </w:rPr>
        <w:t>i</w:t>
      </w:r>
      <w:r w:rsidRPr="003D528A">
        <w:rPr>
          <w:i/>
          <w:iCs/>
          <w:sz w:val="28"/>
          <w:szCs w:val="28"/>
          <w:lang w:val="vi-VN"/>
        </w:rPr>
        <w:t>ển Việt Nam;</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i/>
          <w:iCs/>
          <w:sz w:val="28"/>
          <w:szCs w:val="28"/>
          <w:lang w:val="vi-VN"/>
        </w:rPr>
        <w:t>Sau khi thống nhất với Bộ Tài chính;</w:t>
      </w:r>
    </w:p>
    <w:p w:rsidR="001F16B7" w:rsidRDefault="003D528A" w:rsidP="001F16B7">
      <w:pPr>
        <w:pStyle w:val="NormalWeb"/>
        <w:spacing w:before="120" w:beforeAutospacing="0" w:after="120" w:afterAutospacing="0" w:line="340" w:lineRule="exact"/>
        <w:ind w:firstLine="562"/>
        <w:jc w:val="both"/>
        <w:divId w:val="2118258417"/>
        <w:rPr>
          <w:sz w:val="28"/>
          <w:szCs w:val="28"/>
        </w:rPr>
      </w:pPr>
      <w:r w:rsidRPr="003D528A">
        <w:rPr>
          <w:i/>
          <w:iCs/>
          <w:sz w:val="28"/>
          <w:szCs w:val="28"/>
          <w:lang w:val="vi-VN"/>
        </w:rPr>
        <w:t>Theo đề nghị của Chánh Thanh tra, gi</w:t>
      </w:r>
      <w:r w:rsidRPr="003D528A">
        <w:rPr>
          <w:i/>
          <w:iCs/>
          <w:sz w:val="28"/>
          <w:szCs w:val="28"/>
        </w:rPr>
        <w:t>á</w:t>
      </w:r>
      <w:r w:rsidRPr="003D528A">
        <w:rPr>
          <w:i/>
          <w:iCs/>
          <w:sz w:val="28"/>
          <w:szCs w:val="28"/>
          <w:lang w:val="vi-VN"/>
        </w:rPr>
        <w:t>m sát ngân hàng;</w:t>
      </w:r>
    </w:p>
    <w:p w:rsidR="003D528A" w:rsidRPr="001F16B7" w:rsidRDefault="003D528A" w:rsidP="001F16B7">
      <w:pPr>
        <w:pStyle w:val="NormalWeb"/>
        <w:spacing w:before="120" w:beforeAutospacing="0" w:after="120" w:afterAutospacing="0" w:line="340" w:lineRule="exact"/>
        <w:ind w:firstLine="562"/>
        <w:jc w:val="both"/>
        <w:divId w:val="2118258417"/>
        <w:rPr>
          <w:sz w:val="28"/>
          <w:szCs w:val="28"/>
        </w:rPr>
      </w:pPr>
      <w:r w:rsidRPr="003D528A">
        <w:rPr>
          <w:i/>
          <w:iCs/>
          <w:sz w:val="28"/>
          <w:szCs w:val="28"/>
          <w:lang w:val="vi-VN"/>
        </w:rPr>
        <w:lastRenderedPageBreak/>
        <w:t>Thống đốc Ngân hàng Nhà nước ban hành Thông tư quy định về phân loại tài sản c</w:t>
      </w:r>
      <w:r w:rsidRPr="003D528A">
        <w:rPr>
          <w:i/>
          <w:iCs/>
          <w:sz w:val="28"/>
          <w:szCs w:val="28"/>
        </w:rPr>
        <w:t xml:space="preserve">ó </w:t>
      </w:r>
      <w:r w:rsidRPr="003D528A">
        <w:rPr>
          <w:i/>
          <w:iCs/>
          <w:sz w:val="28"/>
          <w:szCs w:val="28"/>
          <w:lang w:val="vi-VN"/>
        </w:rPr>
        <w:t>và cam k</w:t>
      </w:r>
      <w:r w:rsidRPr="003D528A">
        <w:rPr>
          <w:i/>
          <w:iCs/>
          <w:sz w:val="28"/>
          <w:szCs w:val="28"/>
        </w:rPr>
        <w:t>ế</w:t>
      </w:r>
      <w:r w:rsidRPr="003D528A">
        <w:rPr>
          <w:i/>
          <w:iCs/>
          <w:sz w:val="28"/>
          <w:szCs w:val="28"/>
          <w:lang w:val="vi-VN"/>
        </w:rPr>
        <w:t xml:space="preserve">t ngoại bảng của Ngân hàng Phát </w:t>
      </w:r>
      <w:r w:rsidRPr="003D528A">
        <w:rPr>
          <w:i/>
          <w:iCs/>
          <w:sz w:val="28"/>
          <w:szCs w:val="28"/>
        </w:rPr>
        <w:t>t</w:t>
      </w:r>
      <w:r w:rsidRPr="003D528A">
        <w:rPr>
          <w:i/>
          <w:iCs/>
          <w:sz w:val="28"/>
          <w:szCs w:val="28"/>
          <w:lang w:val="vi-VN"/>
        </w:rPr>
        <w:t>riển Việt Nam</w:t>
      </w:r>
      <w:r w:rsidR="00300792">
        <w:rPr>
          <w:i/>
          <w:iCs/>
          <w:sz w:val="28"/>
          <w:szCs w:val="28"/>
        </w:rPr>
        <w:t>.</w:t>
      </w:r>
      <w:r w:rsidR="003639BA">
        <w:rPr>
          <w:rStyle w:val="FootnoteReference"/>
          <w:i/>
          <w:iCs/>
          <w:sz w:val="28"/>
          <w:szCs w:val="28"/>
        </w:rPr>
        <w:footnoteReference w:id="2"/>
      </w:r>
    </w:p>
    <w:p w:rsidR="00300792" w:rsidRDefault="00300792" w:rsidP="00300792">
      <w:pPr>
        <w:pStyle w:val="NormalWeb"/>
        <w:spacing w:before="120" w:beforeAutospacing="0" w:after="120" w:afterAutospacing="0" w:line="340" w:lineRule="exact"/>
        <w:jc w:val="center"/>
        <w:divId w:val="2118258417"/>
        <w:rPr>
          <w:b/>
          <w:bCs/>
          <w:sz w:val="28"/>
          <w:szCs w:val="28"/>
        </w:rPr>
      </w:pPr>
      <w:bookmarkStart w:id="1" w:name="chuong_1"/>
    </w:p>
    <w:p w:rsidR="003D528A" w:rsidRPr="003D528A" w:rsidRDefault="003D528A" w:rsidP="00300792">
      <w:pPr>
        <w:pStyle w:val="NormalWeb"/>
        <w:spacing w:before="120" w:beforeAutospacing="0" w:after="120" w:afterAutospacing="0" w:line="340" w:lineRule="exact"/>
        <w:jc w:val="center"/>
        <w:divId w:val="2118258417"/>
        <w:rPr>
          <w:sz w:val="28"/>
          <w:szCs w:val="28"/>
        </w:rPr>
      </w:pPr>
      <w:r w:rsidRPr="003D528A">
        <w:rPr>
          <w:b/>
          <w:bCs/>
          <w:sz w:val="28"/>
          <w:szCs w:val="28"/>
          <w:lang w:val="vi-VN"/>
        </w:rPr>
        <w:t xml:space="preserve">Chương </w:t>
      </w:r>
      <w:bookmarkEnd w:id="1"/>
      <w:r w:rsidRPr="003D528A">
        <w:rPr>
          <w:b/>
          <w:bCs/>
          <w:sz w:val="28"/>
          <w:szCs w:val="28"/>
        </w:rPr>
        <w:t>I</w:t>
      </w:r>
    </w:p>
    <w:p w:rsidR="003D528A" w:rsidRPr="003D528A" w:rsidRDefault="003D528A" w:rsidP="00300792">
      <w:pPr>
        <w:pStyle w:val="NormalWeb"/>
        <w:spacing w:before="120" w:beforeAutospacing="0" w:after="120" w:afterAutospacing="0" w:line="340" w:lineRule="exact"/>
        <w:jc w:val="center"/>
        <w:divId w:val="2118258417"/>
        <w:rPr>
          <w:sz w:val="28"/>
          <w:szCs w:val="28"/>
        </w:rPr>
      </w:pPr>
      <w:bookmarkStart w:id="2" w:name="chuong_1_name"/>
      <w:r w:rsidRPr="003D528A">
        <w:rPr>
          <w:b/>
          <w:bCs/>
          <w:sz w:val="28"/>
          <w:szCs w:val="28"/>
          <w:lang w:val="vi-VN"/>
        </w:rPr>
        <w:t>QUY ĐỊNH CHUNG</w:t>
      </w:r>
      <w:bookmarkEnd w:id="2"/>
    </w:p>
    <w:p w:rsidR="003D528A" w:rsidRPr="00300792" w:rsidRDefault="003D528A" w:rsidP="00300792">
      <w:pPr>
        <w:pStyle w:val="NormalWeb"/>
        <w:spacing w:before="120" w:beforeAutospacing="0" w:after="120" w:afterAutospacing="0" w:line="340" w:lineRule="exact"/>
        <w:ind w:firstLine="562"/>
        <w:jc w:val="both"/>
        <w:divId w:val="2118258417"/>
        <w:rPr>
          <w:sz w:val="28"/>
          <w:szCs w:val="28"/>
          <w:lang w:val="vi-VN"/>
        </w:rPr>
      </w:pPr>
      <w:bookmarkStart w:id="3" w:name="dieu_1"/>
      <w:r w:rsidRPr="003D528A">
        <w:rPr>
          <w:b/>
          <w:bCs/>
          <w:sz w:val="28"/>
          <w:szCs w:val="28"/>
          <w:lang w:val="vi-VN"/>
        </w:rPr>
        <w:t>Điều 1. Phạm vi điều chỉnh</w:t>
      </w:r>
      <w:bookmarkEnd w:id="3"/>
      <w:r w:rsidR="005F7F45">
        <w:rPr>
          <w:rStyle w:val="FootnoteReference"/>
          <w:b/>
          <w:bCs/>
          <w:sz w:val="28"/>
          <w:szCs w:val="28"/>
          <w:lang w:val="vi-VN"/>
        </w:rPr>
        <w:footnoteReference w:id="3"/>
      </w:r>
    </w:p>
    <w:p w:rsidR="005F7F45" w:rsidRPr="005F7F45" w:rsidRDefault="005F7F45" w:rsidP="005F7F45">
      <w:pPr>
        <w:pStyle w:val="NormalWeb"/>
        <w:spacing w:before="120" w:beforeAutospacing="0" w:after="120" w:afterAutospacing="0" w:line="340" w:lineRule="exact"/>
        <w:ind w:firstLine="720"/>
        <w:jc w:val="both"/>
        <w:divId w:val="2118258417"/>
        <w:rPr>
          <w:i/>
          <w:sz w:val="28"/>
          <w:szCs w:val="28"/>
          <w:lang w:val="vi-VN"/>
        </w:rPr>
      </w:pPr>
      <w:bookmarkStart w:id="4" w:name="dieu_2"/>
      <w:r w:rsidRPr="005F7F45">
        <w:rPr>
          <w:sz w:val="28"/>
          <w:szCs w:val="28"/>
          <w:lang w:val="vi-VN"/>
        </w:rPr>
        <w:t>1. Thông tư này quy định về việc phân loại tài sản có (sau đây gọi tắt là nợ) và cam kết ngoại bảng của Ngân hàng Phát triển Việt Nam.</w:t>
      </w:r>
      <w:r w:rsidRPr="005F7F45">
        <w:rPr>
          <w:i/>
          <w:sz w:val="28"/>
          <w:szCs w:val="28"/>
          <w:lang w:val="vi-VN"/>
        </w:rPr>
        <w:t xml:space="preserve"> </w:t>
      </w:r>
    </w:p>
    <w:p w:rsidR="005F7F45" w:rsidRPr="005F7F45" w:rsidRDefault="005F7F45" w:rsidP="005F7F45">
      <w:pPr>
        <w:pStyle w:val="NormalWeb"/>
        <w:spacing w:before="120" w:beforeAutospacing="0" w:after="120" w:afterAutospacing="0" w:line="340" w:lineRule="exact"/>
        <w:ind w:firstLine="720"/>
        <w:jc w:val="both"/>
        <w:divId w:val="2118258417"/>
        <w:rPr>
          <w:sz w:val="28"/>
          <w:szCs w:val="28"/>
          <w:lang w:val="vi-VN"/>
        </w:rPr>
      </w:pPr>
      <w:r w:rsidRPr="005F7F45">
        <w:rPr>
          <w:sz w:val="28"/>
          <w:szCs w:val="28"/>
          <w:lang w:val="vi-VN"/>
        </w:rPr>
        <w:t>2. Nợ phải được phân loại quy định tại Thông tư này bao gồm:</w:t>
      </w:r>
    </w:p>
    <w:p w:rsidR="005F7F45" w:rsidRPr="005F7F45" w:rsidRDefault="005F7F45" w:rsidP="005F7F45">
      <w:pPr>
        <w:pStyle w:val="NormalWeb"/>
        <w:numPr>
          <w:ilvl w:val="0"/>
          <w:numId w:val="1"/>
        </w:numPr>
        <w:spacing w:before="120" w:beforeAutospacing="0" w:after="120" w:afterAutospacing="0" w:line="340" w:lineRule="exact"/>
        <w:jc w:val="both"/>
        <w:divId w:val="2118258417"/>
        <w:rPr>
          <w:sz w:val="28"/>
          <w:szCs w:val="28"/>
          <w:lang w:val="vi-VN"/>
        </w:rPr>
      </w:pPr>
      <w:r w:rsidRPr="005F7F45">
        <w:rPr>
          <w:sz w:val="28"/>
          <w:szCs w:val="28"/>
          <w:lang w:val="vi-VN"/>
        </w:rPr>
        <w:t xml:space="preserve">Cho vay tín dụng đầu tư của Nhà nước; </w:t>
      </w:r>
    </w:p>
    <w:p w:rsidR="005F7F45" w:rsidRPr="005F7F45" w:rsidRDefault="005F7F45" w:rsidP="005F7F45">
      <w:pPr>
        <w:spacing w:before="120" w:after="120" w:line="340" w:lineRule="exact"/>
        <w:ind w:firstLine="720"/>
        <w:jc w:val="both"/>
        <w:divId w:val="2118258417"/>
        <w:rPr>
          <w:sz w:val="28"/>
          <w:szCs w:val="28"/>
          <w:lang w:val="vi-VN"/>
        </w:rPr>
      </w:pPr>
      <w:r w:rsidRPr="005F7F45">
        <w:rPr>
          <w:sz w:val="28"/>
          <w:szCs w:val="28"/>
          <w:lang w:val="vi-VN"/>
        </w:rPr>
        <w:t xml:space="preserve">b) Cho vay tín dụng xuất khẩu của Nhà nước theo hợp đồng ký kết trước thời điểm Nghị định số 32/2017/NĐ-CP ngày 31 tháng 3 năm 2017 của Chính phủ về tín dụng đầu tư của Nhà nước có hiệu lực; </w:t>
      </w:r>
    </w:p>
    <w:p w:rsidR="005F7F45" w:rsidRPr="005F7F45" w:rsidRDefault="005F7F45" w:rsidP="005F7F45">
      <w:pPr>
        <w:spacing w:before="120" w:after="120" w:line="340" w:lineRule="exact"/>
        <w:ind w:firstLine="720"/>
        <w:jc w:val="both"/>
        <w:divId w:val="2118258417"/>
        <w:rPr>
          <w:sz w:val="28"/>
          <w:szCs w:val="28"/>
          <w:lang w:val="vi-VN"/>
        </w:rPr>
      </w:pPr>
      <w:r w:rsidRPr="005F7F45">
        <w:rPr>
          <w:sz w:val="28"/>
          <w:szCs w:val="28"/>
          <w:lang w:val="vi-VN"/>
        </w:rPr>
        <w:t>c) Cho vay lại vốn vay nước ngoài của Chính phủ;</w:t>
      </w:r>
    </w:p>
    <w:p w:rsidR="005F7F45" w:rsidRPr="005F7F45" w:rsidRDefault="005F7F45" w:rsidP="005F7F45">
      <w:pPr>
        <w:spacing w:before="120" w:after="120" w:line="340" w:lineRule="exact"/>
        <w:ind w:firstLine="720"/>
        <w:jc w:val="both"/>
        <w:divId w:val="2118258417"/>
        <w:rPr>
          <w:sz w:val="28"/>
          <w:szCs w:val="28"/>
        </w:rPr>
      </w:pPr>
      <w:r w:rsidRPr="005F7F45">
        <w:rPr>
          <w:sz w:val="28"/>
          <w:szCs w:val="28"/>
        </w:rPr>
        <w:t xml:space="preserve">d) Ủy thác cho vay; </w:t>
      </w:r>
    </w:p>
    <w:p w:rsidR="005F7F45" w:rsidRPr="005F7F45" w:rsidRDefault="005F7F45" w:rsidP="005F7F45">
      <w:pPr>
        <w:spacing w:before="120" w:after="120" w:line="340" w:lineRule="exact"/>
        <w:ind w:firstLine="720"/>
        <w:jc w:val="both"/>
        <w:divId w:val="2118258417"/>
        <w:rPr>
          <w:sz w:val="28"/>
          <w:szCs w:val="28"/>
        </w:rPr>
      </w:pPr>
      <w:r w:rsidRPr="005F7F45">
        <w:rPr>
          <w:sz w:val="28"/>
          <w:szCs w:val="28"/>
        </w:rPr>
        <w:lastRenderedPageBreak/>
        <w:t>đ) Cho vay khác;</w:t>
      </w:r>
    </w:p>
    <w:p w:rsidR="005F7F45" w:rsidRPr="005F7F45" w:rsidRDefault="005F7F45" w:rsidP="005F7F45">
      <w:pPr>
        <w:spacing w:before="120" w:after="120" w:line="340" w:lineRule="exact"/>
        <w:ind w:firstLine="720"/>
        <w:jc w:val="both"/>
        <w:divId w:val="2118258417"/>
        <w:rPr>
          <w:sz w:val="28"/>
          <w:szCs w:val="28"/>
        </w:rPr>
      </w:pPr>
      <w:r w:rsidRPr="005F7F45">
        <w:rPr>
          <w:sz w:val="28"/>
          <w:szCs w:val="28"/>
        </w:rPr>
        <w:t>e) Các khoản trả thay theo cam kết ngoại bảng.</w:t>
      </w:r>
    </w:p>
    <w:p w:rsidR="005F7F45" w:rsidRPr="005F7F45" w:rsidRDefault="005F7F45" w:rsidP="005F7F45">
      <w:pPr>
        <w:spacing w:before="120" w:after="120" w:line="340" w:lineRule="exact"/>
        <w:ind w:firstLine="720"/>
        <w:jc w:val="both"/>
        <w:divId w:val="2118258417"/>
        <w:rPr>
          <w:sz w:val="28"/>
          <w:szCs w:val="28"/>
        </w:rPr>
      </w:pPr>
      <w:r w:rsidRPr="005F7F45">
        <w:rPr>
          <w:sz w:val="28"/>
          <w:szCs w:val="28"/>
        </w:rPr>
        <w:t>3. Các khoản bảo lãnh vay vốn ngân hàng thương mại (sau đây gọi tắt là các cam kết ngoại bảng) phải được phân loại theo Thông tư này để quản lý, giám sát chất lượng hoạt động cấp tín dụng của Ngân hàng Phát triển Việt Nam.</w:t>
      </w:r>
    </w:p>
    <w:p w:rsidR="005F7F45" w:rsidRPr="005F7F45" w:rsidRDefault="005F7F45" w:rsidP="005F7F45">
      <w:pPr>
        <w:pStyle w:val="NormalWeb"/>
        <w:spacing w:before="120" w:beforeAutospacing="0" w:after="120" w:afterAutospacing="0" w:line="340" w:lineRule="exact"/>
        <w:ind w:firstLine="562"/>
        <w:jc w:val="both"/>
        <w:divId w:val="2118258417"/>
        <w:rPr>
          <w:bCs/>
          <w:sz w:val="28"/>
          <w:szCs w:val="28"/>
        </w:rPr>
      </w:pPr>
      <w:r w:rsidRPr="005F7F45">
        <w:rPr>
          <w:sz w:val="28"/>
          <w:szCs w:val="28"/>
        </w:rPr>
        <w:t>4. Đối với các khoản nợ, các cam kết ngoại bảng quy định tại khoản 2, khoản 3 Điều này nhưng Chính phủ, Thủ tướng Chính phủ có chỉ đạo về việc phân loại thì thực hiện theo chỉ đạo của Chính phủ, Thủ tướng Chính phủ.</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b/>
          <w:bCs/>
          <w:sz w:val="28"/>
          <w:szCs w:val="28"/>
          <w:lang w:val="vi-VN"/>
        </w:rPr>
        <w:t>Điều 2. Giải thích từ ngữ</w:t>
      </w:r>
      <w:bookmarkEnd w:id="4"/>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lang w:val="vi-VN"/>
        </w:rPr>
        <w:t>Trong Thông tư này, những từ ngữ dưới đây được hiểu như sau:</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1. </w:t>
      </w:r>
      <w:r w:rsidRPr="003D528A">
        <w:rPr>
          <w:i/>
          <w:iCs/>
          <w:sz w:val="28"/>
          <w:szCs w:val="28"/>
          <w:lang w:val="vi-VN"/>
        </w:rPr>
        <w:t>Rủi ro t</w:t>
      </w:r>
      <w:r w:rsidRPr="003D528A">
        <w:rPr>
          <w:i/>
          <w:iCs/>
          <w:sz w:val="28"/>
          <w:szCs w:val="28"/>
        </w:rPr>
        <w:t>í</w:t>
      </w:r>
      <w:r w:rsidRPr="003D528A">
        <w:rPr>
          <w:i/>
          <w:iCs/>
          <w:sz w:val="28"/>
          <w:szCs w:val="28"/>
          <w:lang w:val="vi-VN"/>
        </w:rPr>
        <w:t>n dụng trong hoạt động ngân hàng</w:t>
      </w:r>
      <w:r w:rsidRPr="003D528A">
        <w:rPr>
          <w:sz w:val="28"/>
          <w:szCs w:val="28"/>
          <w:lang w:val="vi-VN"/>
        </w:rPr>
        <w:t xml:space="preserve"> (sau đây gọi tắt là rủi ro) là t</w:t>
      </w:r>
      <w:r w:rsidRPr="003D528A">
        <w:rPr>
          <w:sz w:val="28"/>
          <w:szCs w:val="28"/>
        </w:rPr>
        <w:t>ổ</w:t>
      </w:r>
      <w:r w:rsidRPr="003D528A">
        <w:rPr>
          <w:sz w:val="28"/>
          <w:szCs w:val="28"/>
          <w:lang w:val="vi-VN"/>
        </w:rPr>
        <w:t>n th</w:t>
      </w:r>
      <w:r w:rsidRPr="003D528A">
        <w:rPr>
          <w:sz w:val="28"/>
          <w:szCs w:val="28"/>
        </w:rPr>
        <w:t>ấ</w:t>
      </w:r>
      <w:r w:rsidRPr="003D528A">
        <w:rPr>
          <w:sz w:val="28"/>
          <w:szCs w:val="28"/>
          <w:lang w:val="vi-VN"/>
        </w:rPr>
        <w:t>t có khả năng xảy ra đ</w:t>
      </w:r>
      <w:r w:rsidRPr="003D528A">
        <w:rPr>
          <w:sz w:val="28"/>
          <w:szCs w:val="28"/>
        </w:rPr>
        <w:t>ố</w:t>
      </w:r>
      <w:r w:rsidRPr="003D528A">
        <w:rPr>
          <w:sz w:val="28"/>
          <w:szCs w:val="28"/>
          <w:lang w:val="vi-VN"/>
        </w:rPr>
        <w:t>i với nợ của Ngân hàng Phát triển Việt Nam do khách hàng không thực hiện hoặc không có khả năng thực hiện một phần hoặc toàn bộ nghĩa vụ của mình theo cam kết.</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2. </w:t>
      </w:r>
      <w:r w:rsidRPr="003D528A">
        <w:rPr>
          <w:i/>
          <w:iCs/>
          <w:sz w:val="28"/>
          <w:szCs w:val="28"/>
          <w:lang w:val="vi-VN"/>
        </w:rPr>
        <w:t>Khoản nợ</w:t>
      </w:r>
      <w:r w:rsidRPr="003D528A">
        <w:rPr>
          <w:sz w:val="28"/>
          <w:szCs w:val="28"/>
          <w:lang w:val="vi-VN"/>
        </w:rPr>
        <w:t xml:space="preserve"> là số tiền đã cho vay, giải ngân từng lần theo thỏa thu</w:t>
      </w:r>
      <w:r w:rsidRPr="003D528A">
        <w:rPr>
          <w:sz w:val="28"/>
          <w:szCs w:val="28"/>
        </w:rPr>
        <w:t>ậ</w:t>
      </w:r>
      <w:r w:rsidRPr="003D528A">
        <w:rPr>
          <w:sz w:val="28"/>
          <w:szCs w:val="28"/>
          <w:lang w:val="vi-VN"/>
        </w:rPr>
        <w:t>n đối với nợ quy định tại khoản 2 Điều 1 Thông tư này.</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3. </w:t>
      </w:r>
      <w:r w:rsidRPr="003D528A">
        <w:rPr>
          <w:i/>
          <w:iCs/>
          <w:sz w:val="28"/>
          <w:szCs w:val="28"/>
          <w:lang w:val="vi-VN"/>
        </w:rPr>
        <w:t>Nợ quá hạn</w:t>
      </w:r>
      <w:r w:rsidRPr="003D528A">
        <w:rPr>
          <w:sz w:val="28"/>
          <w:szCs w:val="28"/>
          <w:lang w:val="vi-VN"/>
        </w:rPr>
        <w:t xml:space="preserve"> là nợ mà một phần hoặc toàn bộ nợ gốc và/hoặc lãi đã quá hạn.</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4. </w:t>
      </w:r>
      <w:r w:rsidRPr="003D528A">
        <w:rPr>
          <w:i/>
          <w:iCs/>
          <w:sz w:val="28"/>
          <w:szCs w:val="28"/>
          <w:lang w:val="vi-VN"/>
        </w:rPr>
        <w:t>Nợ cơ cấu lại thời hạn trả nợ</w:t>
      </w:r>
      <w:r w:rsidRPr="003D528A">
        <w:rPr>
          <w:sz w:val="28"/>
          <w:szCs w:val="28"/>
          <w:lang w:val="vi-VN"/>
        </w:rPr>
        <w:t xml:space="preserve"> là nợ được Ngân hàng Phát triển Vi</w:t>
      </w:r>
      <w:r w:rsidRPr="003D528A">
        <w:rPr>
          <w:sz w:val="28"/>
          <w:szCs w:val="28"/>
        </w:rPr>
        <w:t>ệ</w:t>
      </w:r>
      <w:r w:rsidRPr="003D528A">
        <w:rPr>
          <w:sz w:val="28"/>
          <w:szCs w:val="28"/>
          <w:lang w:val="vi-VN"/>
        </w:rPr>
        <w:t>t Nam ch</w:t>
      </w:r>
      <w:r w:rsidRPr="003D528A">
        <w:rPr>
          <w:sz w:val="28"/>
          <w:szCs w:val="28"/>
        </w:rPr>
        <w:t>ấ</w:t>
      </w:r>
      <w:r w:rsidRPr="003D528A">
        <w:rPr>
          <w:sz w:val="28"/>
          <w:szCs w:val="28"/>
          <w:lang w:val="vi-VN"/>
        </w:rPr>
        <w:t>p thuận điều chỉnh kỳ hạn trả nợ và/hoặc gia hạn nợ cho khách hàng khi khách hàng không có khả năng trả nợ gốc và/hoặc lãi đúng thời hạn ghi trong hợp đ</w:t>
      </w:r>
      <w:r w:rsidRPr="003D528A">
        <w:rPr>
          <w:sz w:val="28"/>
          <w:szCs w:val="28"/>
        </w:rPr>
        <w:t>ồ</w:t>
      </w:r>
      <w:r w:rsidRPr="003D528A">
        <w:rPr>
          <w:sz w:val="28"/>
          <w:szCs w:val="28"/>
          <w:lang w:val="vi-VN"/>
        </w:rPr>
        <w:t>ng nhưng được Ngân hàng Phát tri</w:t>
      </w:r>
      <w:r w:rsidRPr="003D528A">
        <w:rPr>
          <w:sz w:val="28"/>
          <w:szCs w:val="28"/>
        </w:rPr>
        <w:t>ể</w:t>
      </w:r>
      <w:r w:rsidRPr="003D528A">
        <w:rPr>
          <w:sz w:val="28"/>
          <w:szCs w:val="28"/>
          <w:lang w:val="vi-VN"/>
        </w:rPr>
        <w:t>n Việt Nam đánh giá có khả năng trả được đầy đủ nợ gốc và lãi theo thời hạn trả nợ cơ cấu lại.</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5. </w:t>
      </w:r>
      <w:r w:rsidRPr="003D528A">
        <w:rPr>
          <w:i/>
          <w:iCs/>
          <w:sz w:val="28"/>
          <w:szCs w:val="28"/>
          <w:lang w:val="vi-VN"/>
        </w:rPr>
        <w:t>Nợ xấu</w:t>
      </w:r>
      <w:r w:rsidRPr="003D528A">
        <w:rPr>
          <w:sz w:val="28"/>
          <w:szCs w:val="28"/>
          <w:lang w:val="vi-VN"/>
        </w:rPr>
        <w:t xml:space="preserve"> là nợ thuộc các nhóm 3, 4 và 5.</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6. </w:t>
      </w:r>
      <w:r w:rsidRPr="003D528A">
        <w:rPr>
          <w:i/>
          <w:iCs/>
          <w:sz w:val="28"/>
          <w:szCs w:val="28"/>
          <w:lang w:val="vi-VN"/>
        </w:rPr>
        <w:t xml:space="preserve">Tỷ </w:t>
      </w:r>
      <w:r w:rsidRPr="003D528A">
        <w:rPr>
          <w:i/>
          <w:iCs/>
          <w:sz w:val="28"/>
          <w:szCs w:val="28"/>
        </w:rPr>
        <w:t>l</w:t>
      </w:r>
      <w:r w:rsidRPr="003D528A">
        <w:rPr>
          <w:i/>
          <w:iCs/>
          <w:sz w:val="28"/>
          <w:szCs w:val="28"/>
          <w:lang w:val="vi-VN"/>
        </w:rPr>
        <w:t>ệ nợ xấu</w:t>
      </w:r>
      <w:r w:rsidRPr="003D528A">
        <w:rPr>
          <w:sz w:val="28"/>
          <w:szCs w:val="28"/>
          <w:lang w:val="vi-VN"/>
        </w:rPr>
        <w:t xml:space="preserve"> là tỷ lệ giữa nợ xấu so với tổng nợ từ nhóm 1 đến nhóm 5.</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7. </w:t>
      </w:r>
      <w:r w:rsidRPr="003D528A">
        <w:rPr>
          <w:i/>
          <w:iCs/>
          <w:sz w:val="28"/>
          <w:szCs w:val="28"/>
          <w:lang w:val="vi-VN"/>
        </w:rPr>
        <w:t>Tỷ lệ cấp tín dụng xấu</w:t>
      </w:r>
      <w:r w:rsidRPr="003D528A">
        <w:rPr>
          <w:sz w:val="28"/>
          <w:szCs w:val="28"/>
          <w:lang w:val="vi-VN"/>
        </w:rPr>
        <w:t xml:space="preserve"> là tỷ lệ giữa tổng nợ và cam kết ngoại bảng từ nhóm 3 đến nhóm 5 so với tổng nợ và các cam k</w:t>
      </w:r>
      <w:r w:rsidRPr="003D528A">
        <w:rPr>
          <w:sz w:val="28"/>
          <w:szCs w:val="28"/>
        </w:rPr>
        <w:t>ế</w:t>
      </w:r>
      <w:r w:rsidRPr="003D528A">
        <w:rPr>
          <w:sz w:val="28"/>
          <w:szCs w:val="28"/>
          <w:lang w:val="vi-VN"/>
        </w:rPr>
        <w:t>t ngoại bảng từ nhóm 1 đến nhóm 5.</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8. </w:t>
      </w:r>
      <w:r w:rsidRPr="003D528A">
        <w:rPr>
          <w:i/>
          <w:iCs/>
          <w:sz w:val="28"/>
          <w:szCs w:val="28"/>
          <w:lang w:val="vi-VN"/>
        </w:rPr>
        <w:t>Khách hàng</w:t>
      </w:r>
      <w:r w:rsidRPr="003D528A">
        <w:rPr>
          <w:sz w:val="28"/>
          <w:szCs w:val="28"/>
          <w:lang w:val="vi-VN"/>
        </w:rPr>
        <w:t xml:space="preserve"> là tổ chức (bao gồm cả tổ chức tín dụng, chi nhánh ngân hàng nước ngoài), cá nhân, các chủ thể khác theo quy định của pháp luật dân sự có quan hệ tín dụng với Ngân hàng Phát triển Việt </w:t>
      </w:r>
      <w:smartTag w:uri="urn:schemas-microsoft-com:office:smarttags" w:element="country-region">
        <w:smartTag w:uri="urn:schemas-microsoft-com:office:smarttags" w:element="place">
          <w:r w:rsidRPr="003D528A">
            <w:rPr>
              <w:sz w:val="28"/>
              <w:szCs w:val="28"/>
              <w:lang w:val="vi-VN"/>
            </w:rPr>
            <w:t>Nam</w:t>
          </w:r>
        </w:smartTag>
      </w:smartTag>
      <w:r w:rsidRPr="003D528A">
        <w:rPr>
          <w:sz w:val="28"/>
          <w:szCs w:val="28"/>
          <w:lang w:val="vi-VN"/>
        </w:rPr>
        <w:t>.</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bookmarkStart w:id="5" w:name="dieu_3"/>
      <w:r w:rsidRPr="003D528A">
        <w:rPr>
          <w:b/>
          <w:bCs/>
          <w:sz w:val="28"/>
          <w:szCs w:val="28"/>
        </w:rPr>
        <w:t>Điều 3. Thu thập số liệu, thông tin khách hàng và công nghệ thông tin</w:t>
      </w:r>
      <w:bookmarkEnd w:id="5"/>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lang w:val="vi-VN"/>
        </w:rPr>
        <w:t>Ngân hàng Phát triển Việt Nam phải có biện pháp và thường xuyên thực hiện việc thu thập thông tin, số liệu về khách hàng để:</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1. </w:t>
      </w:r>
      <w:r w:rsidRPr="003D528A">
        <w:rPr>
          <w:sz w:val="28"/>
          <w:szCs w:val="28"/>
          <w:lang w:val="vi-VN"/>
        </w:rPr>
        <w:t>Theo dõi, đánh giá khả năng trả nợ của khách hàng để có biện pháp quản lý rủi ro, quản lý chất lượng tín dụng phù hợp.</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lastRenderedPageBreak/>
        <w:t xml:space="preserve">2. </w:t>
      </w:r>
      <w:r w:rsidRPr="003D528A">
        <w:rPr>
          <w:sz w:val="28"/>
          <w:szCs w:val="28"/>
          <w:lang w:val="vi-VN"/>
        </w:rPr>
        <w:t>Thực hiện phân loại nợ, cam kết ngoại bảng theo quy định tại Thông tư này.</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3. </w:t>
      </w:r>
      <w:r w:rsidRPr="003D528A">
        <w:rPr>
          <w:sz w:val="28"/>
          <w:szCs w:val="28"/>
          <w:lang w:val="vi-VN"/>
        </w:rPr>
        <w:t xml:space="preserve">Ngân hàng Phát triển Việt Nam phải xây dựng hệ thống công nghệ thông tin đáp ứng yêu cầu quản lý số liệu, thông tin khách hàng, quản trị rủi ro, thực hiện phân loại nợ, cam kết ngoại bảng </w:t>
      </w:r>
      <w:r w:rsidRPr="003D528A">
        <w:rPr>
          <w:sz w:val="28"/>
          <w:szCs w:val="28"/>
        </w:rPr>
        <w:t>tr</w:t>
      </w:r>
      <w:r w:rsidRPr="003D528A">
        <w:rPr>
          <w:sz w:val="28"/>
          <w:szCs w:val="28"/>
          <w:lang w:val="vi-VN"/>
        </w:rPr>
        <w:t>ong toàn hệ thống.</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bookmarkStart w:id="6" w:name="dieu_4"/>
      <w:r w:rsidRPr="003D528A">
        <w:rPr>
          <w:b/>
          <w:bCs/>
          <w:sz w:val="28"/>
          <w:szCs w:val="28"/>
          <w:lang w:val="vi-VN"/>
        </w:rPr>
        <w:t>Điều 4. Quy định nội bộ về cấp tín dụng, quản lý tiền vay</w:t>
      </w:r>
      <w:bookmarkEnd w:id="6"/>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1. </w:t>
      </w:r>
      <w:r w:rsidRPr="003D528A">
        <w:rPr>
          <w:sz w:val="28"/>
          <w:szCs w:val="28"/>
          <w:lang w:val="vi-VN"/>
        </w:rPr>
        <w:t xml:space="preserve">Ngân hàng Phát triển Việt </w:t>
      </w:r>
      <w:smartTag w:uri="urn:schemas-microsoft-com:office:smarttags" w:element="country-region">
        <w:smartTag w:uri="urn:schemas-microsoft-com:office:smarttags" w:element="place">
          <w:r w:rsidRPr="003D528A">
            <w:rPr>
              <w:sz w:val="28"/>
              <w:szCs w:val="28"/>
              <w:lang w:val="vi-VN"/>
            </w:rPr>
            <w:t>Nam</w:t>
          </w:r>
        </w:smartTag>
      </w:smartTag>
      <w:r w:rsidRPr="003D528A">
        <w:rPr>
          <w:sz w:val="28"/>
          <w:szCs w:val="28"/>
          <w:lang w:val="vi-VN"/>
        </w:rPr>
        <w:t xml:space="preserve"> phải ban hành quy định nội bộ về cấp tín dụng, quản lý tiền vay.</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2. </w:t>
      </w:r>
      <w:r w:rsidRPr="003D528A">
        <w:rPr>
          <w:sz w:val="28"/>
          <w:szCs w:val="28"/>
          <w:lang w:val="vi-VN"/>
        </w:rPr>
        <w:t>Quy định nội bộ về cấp tín dụng, quản lý tiền vay tối thiểu phải đáp ứng các yêu cầu sau:</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a) </w:t>
      </w:r>
      <w:r w:rsidRPr="003D528A">
        <w:rPr>
          <w:sz w:val="28"/>
          <w:szCs w:val="28"/>
          <w:lang w:val="vi-VN"/>
        </w:rPr>
        <w:t>Được xây dựng trên cơ sở thông tin, số liệu khách hàng đã thu thập được;</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b) </w:t>
      </w:r>
      <w:r w:rsidRPr="003D528A">
        <w:rPr>
          <w:sz w:val="28"/>
          <w:szCs w:val="28"/>
          <w:lang w:val="vi-VN"/>
        </w:rPr>
        <w:t>Được sử dụng thống nhất trong toàn hệ thống, làm cơ sở để xét duyệt, cấp tín dụng, quản lý tiền vay đối với khách hàng cụ thể;</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c) </w:t>
      </w:r>
      <w:r w:rsidRPr="003D528A">
        <w:rPr>
          <w:sz w:val="28"/>
          <w:szCs w:val="28"/>
          <w:lang w:val="vi-VN"/>
        </w:rPr>
        <w:t>Có qu</w:t>
      </w:r>
      <w:r w:rsidRPr="003D528A">
        <w:rPr>
          <w:sz w:val="28"/>
          <w:szCs w:val="28"/>
        </w:rPr>
        <w:t xml:space="preserve">y </w:t>
      </w:r>
      <w:r w:rsidRPr="003D528A">
        <w:rPr>
          <w:sz w:val="28"/>
          <w:szCs w:val="28"/>
          <w:lang w:val="vi-VN"/>
        </w:rPr>
        <w:t>định chính sách tín dụng đối với khách hàng, trong đó bao gồm quy định v</w:t>
      </w:r>
      <w:r w:rsidRPr="003D528A">
        <w:rPr>
          <w:sz w:val="28"/>
          <w:szCs w:val="28"/>
        </w:rPr>
        <w:t>ề</w:t>
      </w:r>
      <w:r w:rsidRPr="003D528A">
        <w:rPr>
          <w:sz w:val="28"/>
          <w:szCs w:val="28"/>
          <w:lang w:val="vi-VN"/>
        </w:rPr>
        <w:t xml:space="preserve"> đi</w:t>
      </w:r>
      <w:r w:rsidRPr="003D528A">
        <w:rPr>
          <w:sz w:val="28"/>
          <w:szCs w:val="28"/>
        </w:rPr>
        <w:t>ề</w:t>
      </w:r>
      <w:r w:rsidRPr="003D528A">
        <w:rPr>
          <w:sz w:val="28"/>
          <w:szCs w:val="28"/>
          <w:lang w:val="vi-VN"/>
        </w:rPr>
        <w:t>u kiện cấp tín dụng, hạn mức cấp tín dụng, lãi suất, hồ sơ, trình tự, thủ tục, quy trình th</w:t>
      </w:r>
      <w:r w:rsidRPr="003D528A">
        <w:rPr>
          <w:sz w:val="28"/>
          <w:szCs w:val="28"/>
        </w:rPr>
        <w:t>ẩ</w:t>
      </w:r>
      <w:r w:rsidRPr="003D528A">
        <w:rPr>
          <w:sz w:val="28"/>
          <w:szCs w:val="28"/>
          <w:lang w:val="vi-VN"/>
        </w:rPr>
        <w:t>m định, xét duyệt cấp tín dụng, quản lý tiền vay;</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d) </w:t>
      </w:r>
      <w:r w:rsidRPr="003D528A">
        <w:rPr>
          <w:sz w:val="28"/>
          <w:szCs w:val="28"/>
          <w:lang w:val="vi-VN"/>
        </w:rPr>
        <w:t>Có quy định về trách nhiệm, quyền hạn của các đ</w:t>
      </w:r>
      <w:r w:rsidRPr="003D528A">
        <w:rPr>
          <w:sz w:val="28"/>
          <w:szCs w:val="28"/>
        </w:rPr>
        <w:t xml:space="preserve">ơn </w:t>
      </w:r>
      <w:r w:rsidRPr="003D528A">
        <w:rPr>
          <w:sz w:val="28"/>
          <w:szCs w:val="28"/>
          <w:lang w:val="vi-VN"/>
        </w:rPr>
        <w:t>vị, cá nhân trong việc th</w:t>
      </w:r>
      <w:r w:rsidRPr="003D528A">
        <w:rPr>
          <w:sz w:val="28"/>
          <w:szCs w:val="28"/>
        </w:rPr>
        <w:t>ẩ</w:t>
      </w:r>
      <w:r w:rsidRPr="003D528A">
        <w:rPr>
          <w:sz w:val="28"/>
          <w:szCs w:val="28"/>
          <w:lang w:val="vi-VN"/>
        </w:rPr>
        <w:t>m định, cấp tín dụng, quản lý chất lượng tín dụng;</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lang w:val="vi-VN"/>
        </w:rPr>
        <w:t>đ) Có quy định về quy trình, nội dung kiểm tra, kiểm soát trước, trong và sau khi c</w:t>
      </w:r>
      <w:r w:rsidRPr="003D528A">
        <w:rPr>
          <w:sz w:val="28"/>
          <w:szCs w:val="28"/>
        </w:rPr>
        <w:t>ấ</w:t>
      </w:r>
      <w:r w:rsidRPr="003D528A">
        <w:rPr>
          <w:sz w:val="28"/>
          <w:szCs w:val="28"/>
          <w:lang w:val="vi-VN"/>
        </w:rPr>
        <w:t>p tín dụng;</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e) </w:t>
      </w:r>
      <w:r w:rsidRPr="003D528A">
        <w:rPr>
          <w:sz w:val="28"/>
          <w:szCs w:val="28"/>
          <w:lang w:val="vi-VN"/>
        </w:rPr>
        <w:t>Có quy định về bảo đảm tiền vay;</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lang w:val="vi-VN"/>
        </w:rPr>
        <w:t>g) Có quy định về các biện pháp thu hồi nợ.</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bookmarkStart w:id="7" w:name="dieu_5"/>
      <w:r w:rsidRPr="003D528A">
        <w:rPr>
          <w:b/>
          <w:bCs/>
          <w:sz w:val="28"/>
          <w:szCs w:val="28"/>
          <w:lang w:val="vi-VN"/>
        </w:rPr>
        <w:t>Điều 5. Báo cáo về quy định nội bộ về cấp tín dụng, quản lý tiền vay</w:t>
      </w:r>
      <w:bookmarkEnd w:id="7"/>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lang w:val="vi-VN"/>
        </w:rPr>
        <w:t>Trong thời hạn 10 ngày, kể từ ngày ban hành, sửa đổi, bổ sung quy định nội bộ về cấp tín dụng, quản lý tiền vay, Ngân hàng Phát triển Việt Nam phải gửi trực tiếp hoặc bằng đường bưu điện cho Ngân hàng Nhà nước (Cơ quan Thanh tra, giám sát ngân hàng) và Bộ Tài chính các văn bản sau:</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1. </w:t>
      </w:r>
      <w:r w:rsidRPr="003D528A">
        <w:rPr>
          <w:sz w:val="28"/>
          <w:szCs w:val="28"/>
          <w:lang w:val="vi-VN"/>
        </w:rPr>
        <w:t>Văn bản báo cáo về việc ban hành, sửa đổi, bổ sung quy định n</w:t>
      </w:r>
      <w:r w:rsidRPr="003D528A">
        <w:rPr>
          <w:sz w:val="28"/>
          <w:szCs w:val="28"/>
        </w:rPr>
        <w:t>ộ</w:t>
      </w:r>
      <w:r w:rsidRPr="003D528A">
        <w:rPr>
          <w:sz w:val="28"/>
          <w:szCs w:val="28"/>
          <w:lang w:val="vi-VN"/>
        </w:rPr>
        <w:t>i b</w:t>
      </w:r>
      <w:r w:rsidRPr="003D528A">
        <w:rPr>
          <w:sz w:val="28"/>
          <w:szCs w:val="28"/>
        </w:rPr>
        <w:t xml:space="preserve">ộ </w:t>
      </w:r>
      <w:r w:rsidRPr="003D528A">
        <w:rPr>
          <w:sz w:val="28"/>
          <w:szCs w:val="28"/>
          <w:lang w:val="vi-VN"/>
        </w:rPr>
        <w:t>về c</w:t>
      </w:r>
      <w:r w:rsidRPr="003D528A">
        <w:rPr>
          <w:sz w:val="28"/>
          <w:szCs w:val="28"/>
        </w:rPr>
        <w:t>ấ</w:t>
      </w:r>
      <w:r w:rsidRPr="003D528A">
        <w:rPr>
          <w:sz w:val="28"/>
          <w:szCs w:val="28"/>
          <w:lang w:val="vi-VN"/>
        </w:rPr>
        <w:t>p tín dụng, quản lý ti</w:t>
      </w:r>
      <w:r w:rsidRPr="003D528A">
        <w:rPr>
          <w:sz w:val="28"/>
          <w:szCs w:val="28"/>
        </w:rPr>
        <w:t>ề</w:t>
      </w:r>
      <w:r w:rsidRPr="003D528A">
        <w:rPr>
          <w:sz w:val="28"/>
          <w:szCs w:val="28"/>
          <w:lang w:val="vi-VN"/>
        </w:rPr>
        <w:t>n vay trong đó nêu rõ lý do và cơ sở thực hiện.</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2. </w:t>
      </w:r>
      <w:r w:rsidRPr="003D528A">
        <w:rPr>
          <w:sz w:val="28"/>
          <w:szCs w:val="28"/>
          <w:lang w:val="vi-VN"/>
        </w:rPr>
        <w:t xml:space="preserve">Quy định nội bộ về cấp </w:t>
      </w:r>
      <w:r w:rsidRPr="003D528A">
        <w:rPr>
          <w:sz w:val="28"/>
          <w:szCs w:val="28"/>
        </w:rPr>
        <w:t xml:space="preserve">tín </w:t>
      </w:r>
      <w:r w:rsidRPr="003D528A">
        <w:rPr>
          <w:sz w:val="28"/>
          <w:szCs w:val="28"/>
          <w:lang w:val="vi-VN"/>
        </w:rPr>
        <w:t>dụng, quản lý tiền vay được ban hành, sửa đ</w:t>
      </w:r>
      <w:r w:rsidRPr="003D528A">
        <w:rPr>
          <w:sz w:val="28"/>
          <w:szCs w:val="28"/>
        </w:rPr>
        <w:t>ổ</w:t>
      </w:r>
      <w:r w:rsidRPr="003D528A">
        <w:rPr>
          <w:sz w:val="28"/>
          <w:szCs w:val="28"/>
          <w:lang w:val="vi-VN"/>
        </w:rPr>
        <w:t>i, b</w:t>
      </w:r>
      <w:r w:rsidRPr="003D528A">
        <w:rPr>
          <w:sz w:val="28"/>
          <w:szCs w:val="28"/>
        </w:rPr>
        <w:t>ổ</w:t>
      </w:r>
      <w:r w:rsidRPr="003D528A">
        <w:rPr>
          <w:sz w:val="28"/>
          <w:szCs w:val="28"/>
          <w:lang w:val="vi-VN"/>
        </w:rPr>
        <w:t xml:space="preserve"> sung.</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bookmarkStart w:id="8" w:name="dieu_6"/>
      <w:r w:rsidRPr="003D528A">
        <w:rPr>
          <w:b/>
          <w:bCs/>
          <w:sz w:val="28"/>
          <w:szCs w:val="28"/>
          <w:lang w:val="vi-VN"/>
        </w:rPr>
        <w:t>Điều 6. Thời điểm phân loại nợ và cam kết ngoại bảng</w:t>
      </w:r>
      <w:bookmarkEnd w:id="8"/>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1. </w:t>
      </w:r>
      <w:r w:rsidRPr="003D528A">
        <w:rPr>
          <w:sz w:val="28"/>
          <w:szCs w:val="28"/>
          <w:lang w:val="vi-VN"/>
        </w:rPr>
        <w:t>Ít nhất mỗi quý một l</w:t>
      </w:r>
      <w:r w:rsidRPr="003D528A">
        <w:rPr>
          <w:sz w:val="28"/>
          <w:szCs w:val="28"/>
        </w:rPr>
        <w:t>ầ</w:t>
      </w:r>
      <w:r w:rsidRPr="003D528A">
        <w:rPr>
          <w:sz w:val="28"/>
          <w:szCs w:val="28"/>
          <w:lang w:val="vi-VN"/>
        </w:rPr>
        <w:t xml:space="preserve">n, </w:t>
      </w:r>
      <w:r w:rsidRPr="003D528A">
        <w:rPr>
          <w:sz w:val="28"/>
          <w:szCs w:val="28"/>
        </w:rPr>
        <w:t>tr</w:t>
      </w:r>
      <w:r w:rsidRPr="003D528A">
        <w:rPr>
          <w:sz w:val="28"/>
          <w:szCs w:val="28"/>
          <w:lang w:val="vi-VN"/>
        </w:rPr>
        <w:t xml:space="preserve">ong 15 ngày đầu tiên của tháng đầu tiên của mỗi quý, Ngân hàng Phát triển Việt Nam thực hiện phân loại nợ, cam kết ngoại </w:t>
      </w:r>
      <w:r w:rsidRPr="003D528A">
        <w:rPr>
          <w:sz w:val="28"/>
          <w:szCs w:val="28"/>
          <w:lang w:val="vi-VN"/>
        </w:rPr>
        <w:lastRenderedPageBreak/>
        <w:t>bảng đến th</w:t>
      </w:r>
      <w:r w:rsidRPr="003D528A">
        <w:rPr>
          <w:sz w:val="28"/>
          <w:szCs w:val="28"/>
        </w:rPr>
        <w:t>ờ</w:t>
      </w:r>
      <w:r w:rsidRPr="003D528A">
        <w:rPr>
          <w:sz w:val="28"/>
          <w:szCs w:val="28"/>
          <w:lang w:val="vi-VN"/>
        </w:rPr>
        <w:t>i điểm cuối ngày làm việc cuối cùng của quý trước theo quy định tại Thông tư này.</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lang w:val="vi-VN"/>
        </w:rPr>
        <w:t>Riêng đối với quý cuối cùng của kỳ kế toán năm, trong 15 ngày làm việc đ</w:t>
      </w:r>
      <w:r w:rsidRPr="003D528A">
        <w:rPr>
          <w:sz w:val="28"/>
          <w:szCs w:val="28"/>
        </w:rPr>
        <w:t>ầ</w:t>
      </w:r>
      <w:r w:rsidRPr="003D528A">
        <w:rPr>
          <w:sz w:val="28"/>
          <w:szCs w:val="28"/>
          <w:lang w:val="vi-VN"/>
        </w:rPr>
        <w:t>u tiên của tháng cuối cùng, Ngân hàng Phát triển Việt Nam thực hiện phân loại nợ, cam kết ngoại bảng đến thời điểm cuối ngày làm việc cuối cùng của tháng thứ hai quý cuối cùng của kỳ kế toán.</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2. </w:t>
      </w:r>
      <w:r w:rsidRPr="003D528A">
        <w:rPr>
          <w:sz w:val="28"/>
          <w:szCs w:val="28"/>
          <w:lang w:val="vi-VN"/>
        </w:rPr>
        <w:t>Ngoài thời điểm quy định tại khoản 1 Điều này, Ngân hàng Phát triển Việt Nam thực hiện phân loại nợ, cam kết ngoại bảng theo quy định nội bộ.</w:t>
      </w:r>
    </w:p>
    <w:p w:rsidR="00300792" w:rsidRDefault="00300792" w:rsidP="00300792">
      <w:pPr>
        <w:pStyle w:val="NormalWeb"/>
        <w:spacing w:before="120" w:beforeAutospacing="0" w:after="120" w:afterAutospacing="0" w:line="340" w:lineRule="exact"/>
        <w:jc w:val="center"/>
        <w:divId w:val="2118258417"/>
        <w:rPr>
          <w:b/>
          <w:bCs/>
          <w:sz w:val="28"/>
          <w:szCs w:val="28"/>
        </w:rPr>
      </w:pPr>
      <w:bookmarkStart w:id="9" w:name="chuong_2"/>
    </w:p>
    <w:p w:rsidR="003D528A" w:rsidRPr="003D528A" w:rsidRDefault="003D528A" w:rsidP="00300792">
      <w:pPr>
        <w:pStyle w:val="NormalWeb"/>
        <w:spacing w:before="120" w:beforeAutospacing="0" w:after="120" w:afterAutospacing="0" w:line="340" w:lineRule="exact"/>
        <w:jc w:val="center"/>
        <w:divId w:val="2118258417"/>
        <w:rPr>
          <w:sz w:val="28"/>
          <w:szCs w:val="28"/>
        </w:rPr>
      </w:pPr>
      <w:r w:rsidRPr="003D528A">
        <w:rPr>
          <w:b/>
          <w:bCs/>
          <w:sz w:val="28"/>
          <w:szCs w:val="28"/>
          <w:lang w:val="vi-VN"/>
        </w:rPr>
        <w:t xml:space="preserve">Chương </w:t>
      </w:r>
      <w:bookmarkEnd w:id="9"/>
      <w:r w:rsidRPr="003D528A">
        <w:rPr>
          <w:b/>
          <w:bCs/>
          <w:sz w:val="28"/>
          <w:szCs w:val="28"/>
        </w:rPr>
        <w:t>II</w:t>
      </w:r>
    </w:p>
    <w:p w:rsidR="003D528A" w:rsidRPr="003D528A" w:rsidRDefault="003D528A" w:rsidP="00300792">
      <w:pPr>
        <w:pStyle w:val="NormalWeb"/>
        <w:spacing w:before="120" w:beforeAutospacing="0" w:after="120" w:afterAutospacing="0" w:line="340" w:lineRule="exact"/>
        <w:jc w:val="center"/>
        <w:divId w:val="2118258417"/>
        <w:rPr>
          <w:sz w:val="28"/>
          <w:szCs w:val="28"/>
        </w:rPr>
      </w:pPr>
      <w:bookmarkStart w:id="10" w:name="chuong_2_name"/>
      <w:r w:rsidRPr="003D528A">
        <w:rPr>
          <w:b/>
          <w:bCs/>
          <w:sz w:val="28"/>
          <w:szCs w:val="28"/>
          <w:lang w:val="vi-VN"/>
        </w:rPr>
        <w:t>QUY ĐỊNH CỤ THỂ</w:t>
      </w:r>
      <w:bookmarkEnd w:id="10"/>
    </w:p>
    <w:p w:rsidR="003D528A" w:rsidRPr="003D528A" w:rsidRDefault="003D528A" w:rsidP="00300792">
      <w:pPr>
        <w:pStyle w:val="NormalWeb"/>
        <w:spacing w:before="120" w:beforeAutospacing="0" w:after="120" w:afterAutospacing="0" w:line="340" w:lineRule="exact"/>
        <w:jc w:val="center"/>
        <w:divId w:val="2118258417"/>
        <w:rPr>
          <w:b/>
          <w:bCs/>
          <w:sz w:val="28"/>
          <w:szCs w:val="28"/>
        </w:rPr>
      </w:pPr>
      <w:bookmarkStart w:id="11" w:name="muc_1"/>
      <w:r w:rsidRPr="003D528A">
        <w:rPr>
          <w:b/>
          <w:bCs/>
          <w:sz w:val="28"/>
          <w:szCs w:val="28"/>
          <w:lang w:val="vi-VN"/>
        </w:rPr>
        <w:t>M</w:t>
      </w:r>
      <w:r w:rsidRPr="003D528A">
        <w:rPr>
          <w:b/>
          <w:bCs/>
          <w:sz w:val="28"/>
          <w:szCs w:val="28"/>
        </w:rPr>
        <w:t xml:space="preserve">ục </w:t>
      </w:r>
      <w:r w:rsidRPr="003D528A">
        <w:rPr>
          <w:b/>
          <w:bCs/>
          <w:sz w:val="28"/>
          <w:szCs w:val="28"/>
          <w:lang w:val="vi-VN"/>
        </w:rPr>
        <w:t>1</w:t>
      </w:r>
    </w:p>
    <w:p w:rsidR="003D528A" w:rsidRPr="003D528A" w:rsidRDefault="003D528A" w:rsidP="00300792">
      <w:pPr>
        <w:pStyle w:val="NormalWeb"/>
        <w:spacing w:before="120" w:beforeAutospacing="0" w:after="120" w:afterAutospacing="0" w:line="340" w:lineRule="exact"/>
        <w:jc w:val="center"/>
        <w:divId w:val="2118258417"/>
        <w:rPr>
          <w:sz w:val="28"/>
          <w:szCs w:val="28"/>
        </w:rPr>
      </w:pPr>
      <w:r w:rsidRPr="003D528A">
        <w:rPr>
          <w:b/>
          <w:bCs/>
          <w:sz w:val="28"/>
          <w:szCs w:val="28"/>
          <w:lang w:val="vi-VN"/>
        </w:rPr>
        <w:t>PHÂN LOẠI NỢ VÀ CAM KẾT NGOẠI BẢNG</w:t>
      </w:r>
      <w:bookmarkEnd w:id="11"/>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bookmarkStart w:id="12" w:name="dieu_7"/>
      <w:r w:rsidRPr="003D528A">
        <w:rPr>
          <w:b/>
          <w:bCs/>
          <w:sz w:val="28"/>
          <w:szCs w:val="28"/>
          <w:lang w:val="vi-VN"/>
        </w:rPr>
        <w:t>Điều 7. Phương pháp và nguyên tắc phân loại</w:t>
      </w:r>
      <w:bookmarkEnd w:id="12"/>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1. </w:t>
      </w:r>
      <w:r w:rsidRPr="003D528A">
        <w:rPr>
          <w:sz w:val="28"/>
          <w:szCs w:val="28"/>
          <w:lang w:val="vi-VN"/>
        </w:rPr>
        <w:t xml:space="preserve">Ngân hàng Phát triển Việt </w:t>
      </w:r>
      <w:smartTag w:uri="urn:schemas-microsoft-com:office:smarttags" w:element="country-region">
        <w:smartTag w:uri="urn:schemas-microsoft-com:office:smarttags" w:element="place">
          <w:r w:rsidRPr="003D528A">
            <w:rPr>
              <w:sz w:val="28"/>
              <w:szCs w:val="28"/>
              <w:lang w:val="vi-VN"/>
            </w:rPr>
            <w:t>Nam</w:t>
          </w:r>
        </w:smartTag>
      </w:smartTag>
      <w:r w:rsidRPr="003D528A">
        <w:rPr>
          <w:sz w:val="28"/>
          <w:szCs w:val="28"/>
          <w:lang w:val="vi-VN"/>
        </w:rPr>
        <w:t xml:space="preserve"> thực hiện phân loại nợ và cam kết ngoại bảng theo quy định tại Điều 8 Thông tư này.</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2. </w:t>
      </w:r>
      <w:r w:rsidRPr="003D528A">
        <w:rPr>
          <w:sz w:val="28"/>
          <w:szCs w:val="28"/>
          <w:lang w:val="vi-VN"/>
        </w:rPr>
        <w:t>Toàn bộ số dư nợ và giá trị các cam kết ngoại bảng của một khách hàng phải được phân loại vào cùng một nhóm nợ có mức độ rủi ro cao nhất mà một khoản nợ hoặc cam kết ngoại bảng của khách hàng đó đang được phân loại.</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3. </w:t>
      </w:r>
      <w:r w:rsidRPr="003D528A">
        <w:rPr>
          <w:sz w:val="28"/>
          <w:szCs w:val="28"/>
          <w:lang w:val="vi-VN"/>
        </w:rPr>
        <w:t>Đối với khoản ủy thác cho vay mà bên nhận ủy thác chưa giải ngân theo hợp đ</w:t>
      </w:r>
      <w:r w:rsidRPr="003D528A">
        <w:rPr>
          <w:sz w:val="28"/>
          <w:szCs w:val="28"/>
        </w:rPr>
        <w:t>ồ</w:t>
      </w:r>
      <w:r w:rsidRPr="003D528A">
        <w:rPr>
          <w:sz w:val="28"/>
          <w:szCs w:val="28"/>
          <w:lang w:val="vi-VN"/>
        </w:rPr>
        <w:t xml:space="preserve">ng ủy thác, Ngân hàng Phát triển Việt </w:t>
      </w:r>
      <w:smartTag w:uri="urn:schemas-microsoft-com:office:smarttags" w:element="country-region">
        <w:smartTag w:uri="urn:schemas-microsoft-com:office:smarttags" w:element="place">
          <w:r w:rsidRPr="003D528A">
            <w:rPr>
              <w:sz w:val="28"/>
              <w:szCs w:val="28"/>
              <w:lang w:val="vi-VN"/>
            </w:rPr>
            <w:t>Nam</w:t>
          </w:r>
        </w:smartTag>
      </w:smartTag>
      <w:r w:rsidRPr="003D528A">
        <w:rPr>
          <w:sz w:val="28"/>
          <w:szCs w:val="28"/>
          <w:lang w:val="vi-VN"/>
        </w:rPr>
        <w:t xml:space="preserve"> phải phân loại các khoản ủy thác này như là một khoản cho vay đối với bên nhận ủy thác.</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bookmarkStart w:id="13" w:name="dieu_8"/>
      <w:r w:rsidRPr="003D528A">
        <w:rPr>
          <w:b/>
          <w:bCs/>
          <w:sz w:val="28"/>
          <w:szCs w:val="28"/>
          <w:lang w:val="vi-VN"/>
        </w:rPr>
        <w:t>Điều 8. Phân loại nợ và cam kết ngoại bảng</w:t>
      </w:r>
      <w:bookmarkEnd w:id="13"/>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1. </w:t>
      </w:r>
      <w:r w:rsidRPr="003D528A">
        <w:rPr>
          <w:sz w:val="28"/>
          <w:szCs w:val="28"/>
          <w:lang w:val="vi-VN"/>
        </w:rPr>
        <w:t xml:space="preserve">Ngân hàng Phát triển Việt </w:t>
      </w:r>
      <w:smartTag w:uri="urn:schemas-microsoft-com:office:smarttags" w:element="country-region">
        <w:smartTag w:uri="urn:schemas-microsoft-com:office:smarttags" w:element="place">
          <w:r w:rsidRPr="003D528A">
            <w:rPr>
              <w:sz w:val="28"/>
              <w:szCs w:val="28"/>
              <w:lang w:val="vi-VN"/>
            </w:rPr>
            <w:t>Nam</w:t>
          </w:r>
        </w:smartTag>
      </w:smartTag>
      <w:r w:rsidRPr="003D528A">
        <w:rPr>
          <w:sz w:val="28"/>
          <w:szCs w:val="28"/>
          <w:lang w:val="vi-VN"/>
        </w:rPr>
        <w:t xml:space="preserve"> thực hiện phân loại nợ (trừ các khoản trả thay) theo 05 nhóm như sau:</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a) </w:t>
      </w:r>
      <w:r w:rsidRPr="003D528A">
        <w:rPr>
          <w:sz w:val="28"/>
          <w:szCs w:val="28"/>
          <w:lang w:val="vi-VN"/>
        </w:rPr>
        <w:t>Nhóm 1 (Nợ đủ tiêu chuẩn) bao gồm:</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(i) </w:t>
      </w:r>
      <w:r w:rsidRPr="003D528A">
        <w:rPr>
          <w:sz w:val="28"/>
          <w:szCs w:val="28"/>
          <w:lang w:val="vi-VN"/>
        </w:rPr>
        <w:t xml:space="preserve">Nợ </w:t>
      </w:r>
      <w:r w:rsidRPr="003D528A">
        <w:rPr>
          <w:sz w:val="28"/>
          <w:szCs w:val="28"/>
        </w:rPr>
        <w:t>tr</w:t>
      </w:r>
      <w:r w:rsidRPr="003D528A">
        <w:rPr>
          <w:sz w:val="28"/>
          <w:szCs w:val="28"/>
          <w:lang w:val="vi-VN"/>
        </w:rPr>
        <w:t>ong hạn và được đánh giá là có khả năng thu hồi đầy đủ cả nợ gốc và lãi đúng hạn.</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(ii) </w:t>
      </w:r>
      <w:r w:rsidRPr="003D528A">
        <w:rPr>
          <w:sz w:val="28"/>
          <w:szCs w:val="28"/>
          <w:lang w:val="vi-VN"/>
        </w:rPr>
        <w:t>Nợ quá hạn dưới 10 ngày và được đánh giá là có khả năng thu hồi đầy đủ nợ gốc và lãi đã quá hạn và thu hồi đầy đủ nợ gốc và lãi còn lại đúng thời hạn.</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lang w:val="vi-VN"/>
        </w:rPr>
        <w:t>(iii) Nợ được phân loại vào nhóm 1 theo quy định tại khoản 2 Điều này.</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b) </w:t>
      </w:r>
      <w:r w:rsidRPr="003D528A">
        <w:rPr>
          <w:sz w:val="28"/>
          <w:szCs w:val="28"/>
          <w:lang w:val="vi-VN"/>
        </w:rPr>
        <w:t>Nhóm 2 (Nợ cần chú ý) bao gồm:</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(i) </w:t>
      </w:r>
      <w:r w:rsidRPr="003D528A">
        <w:rPr>
          <w:sz w:val="28"/>
          <w:szCs w:val="28"/>
          <w:lang w:val="vi-VN"/>
        </w:rPr>
        <w:t>Nợ quá hạn từ 10 ngày đến 90 ngày;</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(ii) </w:t>
      </w:r>
      <w:r w:rsidRPr="003D528A">
        <w:rPr>
          <w:sz w:val="28"/>
          <w:szCs w:val="28"/>
          <w:lang w:val="vi-VN"/>
        </w:rPr>
        <w:t>Nợ cơ cấu lại thời hạn trả nợ lần đầu;</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lastRenderedPageBreak/>
        <w:t xml:space="preserve">(iii) </w:t>
      </w:r>
      <w:r w:rsidRPr="003D528A">
        <w:rPr>
          <w:sz w:val="28"/>
          <w:szCs w:val="28"/>
          <w:lang w:val="vi-VN"/>
        </w:rPr>
        <w:t>Nợ được phân loại vào nhóm 2 theo quy định tại khoản 2 và khoản 3 Điều này.</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c) </w:t>
      </w:r>
      <w:r w:rsidRPr="003D528A">
        <w:rPr>
          <w:sz w:val="28"/>
          <w:szCs w:val="28"/>
          <w:lang w:val="vi-VN"/>
        </w:rPr>
        <w:t>Nhóm 3 (Nợ dưới tiêu chuẩn) bao gồm:</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(i) </w:t>
      </w:r>
      <w:r w:rsidRPr="003D528A">
        <w:rPr>
          <w:sz w:val="28"/>
          <w:szCs w:val="28"/>
          <w:lang w:val="vi-VN"/>
        </w:rPr>
        <w:t>Nợ quá hạn từ 91 ngày đến 180 ngày;</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lang w:val="vi-VN"/>
        </w:rPr>
        <w:t>(</w:t>
      </w:r>
      <w:r w:rsidRPr="003D528A">
        <w:rPr>
          <w:sz w:val="28"/>
          <w:szCs w:val="28"/>
        </w:rPr>
        <w:t>i</w:t>
      </w:r>
      <w:r w:rsidRPr="003D528A">
        <w:rPr>
          <w:sz w:val="28"/>
          <w:szCs w:val="28"/>
          <w:lang w:val="vi-VN"/>
        </w:rPr>
        <w:t>i) Nợ cơ c</w:t>
      </w:r>
      <w:r w:rsidRPr="003D528A">
        <w:rPr>
          <w:sz w:val="28"/>
          <w:szCs w:val="28"/>
        </w:rPr>
        <w:t>ấ</w:t>
      </w:r>
      <w:r w:rsidRPr="003D528A">
        <w:rPr>
          <w:sz w:val="28"/>
          <w:szCs w:val="28"/>
          <w:lang w:val="vi-VN"/>
        </w:rPr>
        <w:t>u lại thời hạn trả nợ l</w:t>
      </w:r>
      <w:r w:rsidRPr="003D528A">
        <w:rPr>
          <w:sz w:val="28"/>
          <w:szCs w:val="28"/>
        </w:rPr>
        <w:t>ầ</w:t>
      </w:r>
      <w:r w:rsidRPr="003D528A">
        <w:rPr>
          <w:sz w:val="28"/>
          <w:szCs w:val="28"/>
          <w:lang w:val="vi-VN"/>
        </w:rPr>
        <w:t>n đ</w:t>
      </w:r>
      <w:r w:rsidRPr="003D528A">
        <w:rPr>
          <w:sz w:val="28"/>
          <w:szCs w:val="28"/>
        </w:rPr>
        <w:t>ầ</w:t>
      </w:r>
      <w:r w:rsidRPr="003D528A">
        <w:rPr>
          <w:sz w:val="28"/>
          <w:szCs w:val="28"/>
          <w:lang w:val="vi-VN"/>
        </w:rPr>
        <w:t>u quá hạn dưới 30 ngày theo thời hạn trả nợ được cơ cấu lại lần đầu;</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(iii) </w:t>
      </w:r>
      <w:r w:rsidRPr="003D528A">
        <w:rPr>
          <w:sz w:val="28"/>
          <w:szCs w:val="28"/>
          <w:lang w:val="vi-VN"/>
        </w:rPr>
        <w:t>Nợ cơ cấu lại thời hạn trả nợ l</w:t>
      </w:r>
      <w:r w:rsidRPr="003D528A">
        <w:rPr>
          <w:sz w:val="28"/>
          <w:szCs w:val="28"/>
        </w:rPr>
        <w:t>ầ</w:t>
      </w:r>
      <w:r w:rsidRPr="003D528A">
        <w:rPr>
          <w:sz w:val="28"/>
          <w:szCs w:val="28"/>
          <w:lang w:val="vi-VN"/>
        </w:rPr>
        <w:t>n thứ hai;</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(iv) </w:t>
      </w:r>
      <w:r w:rsidRPr="003D528A">
        <w:rPr>
          <w:sz w:val="28"/>
          <w:szCs w:val="28"/>
          <w:lang w:val="vi-VN"/>
        </w:rPr>
        <w:t>Nợ được miễn hoặc giảm lãi do khách hàng không đủ khả năng trả lãi đầy đủ theo hợp đồng tín dụng.</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(v) </w:t>
      </w:r>
      <w:r w:rsidRPr="003D528A">
        <w:rPr>
          <w:sz w:val="28"/>
          <w:szCs w:val="28"/>
          <w:lang w:val="vi-VN"/>
        </w:rPr>
        <w:t>Nợ được phân loại vào nhóm 3 theo quy định tại khoản 2 và khoản 3 Điều này.</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d) </w:t>
      </w:r>
      <w:r w:rsidRPr="003D528A">
        <w:rPr>
          <w:sz w:val="28"/>
          <w:szCs w:val="28"/>
          <w:lang w:val="vi-VN"/>
        </w:rPr>
        <w:t>Nhóm 4 (Nợ nghi ngờ) bao gồm:</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(i) </w:t>
      </w:r>
      <w:r w:rsidRPr="003D528A">
        <w:rPr>
          <w:sz w:val="28"/>
          <w:szCs w:val="28"/>
          <w:lang w:val="vi-VN"/>
        </w:rPr>
        <w:t>Nợ quá hạn từ 181 ngày đến 360 ngày;</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(ii) </w:t>
      </w:r>
      <w:r w:rsidRPr="003D528A">
        <w:rPr>
          <w:sz w:val="28"/>
          <w:szCs w:val="28"/>
          <w:lang w:val="vi-VN"/>
        </w:rPr>
        <w:t>Nợ cơ cấu lại thời hạn trả nợ l</w:t>
      </w:r>
      <w:r w:rsidRPr="003D528A">
        <w:rPr>
          <w:sz w:val="28"/>
          <w:szCs w:val="28"/>
        </w:rPr>
        <w:t>ầ</w:t>
      </w:r>
      <w:r w:rsidRPr="003D528A">
        <w:rPr>
          <w:sz w:val="28"/>
          <w:szCs w:val="28"/>
          <w:lang w:val="vi-VN"/>
        </w:rPr>
        <w:t>n đầu quá hạn từ 30 ngày đến dưới 90 ngày theo thời hạn trả nợ được cơ cấu lại l</w:t>
      </w:r>
      <w:r w:rsidRPr="003D528A">
        <w:rPr>
          <w:sz w:val="28"/>
          <w:szCs w:val="28"/>
        </w:rPr>
        <w:t>ầ</w:t>
      </w:r>
      <w:r w:rsidRPr="003D528A">
        <w:rPr>
          <w:sz w:val="28"/>
          <w:szCs w:val="28"/>
          <w:lang w:val="vi-VN"/>
        </w:rPr>
        <w:t>n đầu;</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(iii) </w:t>
      </w:r>
      <w:r w:rsidRPr="003D528A">
        <w:rPr>
          <w:sz w:val="28"/>
          <w:szCs w:val="28"/>
          <w:lang w:val="vi-VN"/>
        </w:rPr>
        <w:t>Nợ cơ cấu lại th</w:t>
      </w:r>
      <w:r w:rsidRPr="003D528A">
        <w:rPr>
          <w:sz w:val="28"/>
          <w:szCs w:val="28"/>
        </w:rPr>
        <w:t>ờ</w:t>
      </w:r>
      <w:r w:rsidRPr="003D528A">
        <w:rPr>
          <w:sz w:val="28"/>
          <w:szCs w:val="28"/>
          <w:lang w:val="vi-VN"/>
        </w:rPr>
        <w:t>i hạn trả nợ lần thứ hai quá hạn dưới 30 ngày theo thời hạn trả nợ được cơ cấu lại lần thứ hai;</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(iv) </w:t>
      </w:r>
      <w:r w:rsidRPr="003D528A">
        <w:rPr>
          <w:sz w:val="28"/>
          <w:szCs w:val="28"/>
          <w:lang w:val="vi-VN"/>
        </w:rPr>
        <w:t>Nợ được phân loại vào nhóm 4 theo quy định tại khoản 2 và khoản 3 Điều này.</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lang w:val="vi-VN"/>
        </w:rPr>
        <w:t>đ) Nhóm 5 (Nợ có khả năng mất vốn) bao gồm:</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(i) </w:t>
      </w:r>
      <w:r w:rsidRPr="003D528A">
        <w:rPr>
          <w:sz w:val="28"/>
          <w:szCs w:val="28"/>
          <w:lang w:val="vi-VN"/>
        </w:rPr>
        <w:t>Nợ quá hạn trên 360 ngày;</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w:t>
      </w:r>
      <w:r w:rsidRPr="003D528A">
        <w:rPr>
          <w:sz w:val="28"/>
          <w:szCs w:val="28"/>
          <w:lang w:val="vi-VN"/>
        </w:rPr>
        <w:t>ii) Nợ cơ cấu lại thời hạn trả nợ lần đầu quá hạn từ 90 ngày trở lên theo thời hạn trả nợ được cơ cấu lại lần đầu;</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(iii) </w:t>
      </w:r>
      <w:r w:rsidRPr="003D528A">
        <w:rPr>
          <w:sz w:val="28"/>
          <w:szCs w:val="28"/>
          <w:lang w:val="vi-VN"/>
        </w:rPr>
        <w:t>Nợ cơ cấu lại thời hạn trả nợ lần thứ hai quá hạn từ 30 ngày trở lên theo thời hạn trả nợ được cơ cấu lại lần thứ hai;</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(iv) </w:t>
      </w:r>
      <w:r w:rsidRPr="003D528A">
        <w:rPr>
          <w:sz w:val="28"/>
          <w:szCs w:val="28"/>
          <w:lang w:val="vi-VN"/>
        </w:rPr>
        <w:t>Nợ cơ cấu lại thời hạn trả nợ lần thứ ba trở lên, kể cả chưa bị quá hạn hoặc đã quá hạn;</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(v) </w:t>
      </w:r>
      <w:r w:rsidRPr="003D528A">
        <w:rPr>
          <w:sz w:val="28"/>
          <w:szCs w:val="28"/>
          <w:lang w:val="vi-VN"/>
        </w:rPr>
        <w:t>Nợ được phân loại vào nhóm 5 theo quy định tại khoản 3 Điều này.</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2. </w:t>
      </w:r>
      <w:r w:rsidRPr="003D528A">
        <w:rPr>
          <w:sz w:val="28"/>
          <w:szCs w:val="28"/>
          <w:lang w:val="vi-VN"/>
        </w:rPr>
        <w:t>Nợ được phân loại vào nhóm nợ có rủi ro thấp hơn trong các trường h</w:t>
      </w:r>
      <w:r w:rsidRPr="003D528A">
        <w:rPr>
          <w:sz w:val="28"/>
          <w:szCs w:val="28"/>
        </w:rPr>
        <w:t>ợ</w:t>
      </w:r>
      <w:r w:rsidRPr="003D528A">
        <w:rPr>
          <w:sz w:val="28"/>
          <w:szCs w:val="28"/>
          <w:lang w:val="vi-VN"/>
        </w:rPr>
        <w:t>p sau đây:</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a) </w:t>
      </w:r>
      <w:r w:rsidRPr="003D528A">
        <w:rPr>
          <w:sz w:val="28"/>
          <w:szCs w:val="28"/>
          <w:lang w:val="vi-VN"/>
        </w:rPr>
        <w:t xml:space="preserve">Đối với nợ quá hạn, Ngân hàng Phát triển Việt </w:t>
      </w:r>
      <w:smartTag w:uri="urn:schemas-microsoft-com:office:smarttags" w:element="country-region">
        <w:smartTag w:uri="urn:schemas-microsoft-com:office:smarttags" w:element="place">
          <w:r w:rsidRPr="003D528A">
            <w:rPr>
              <w:sz w:val="28"/>
              <w:szCs w:val="28"/>
              <w:lang w:val="vi-VN"/>
            </w:rPr>
            <w:t>Nam</w:t>
          </w:r>
        </w:smartTag>
      </w:smartTag>
      <w:r w:rsidRPr="003D528A">
        <w:rPr>
          <w:sz w:val="28"/>
          <w:szCs w:val="28"/>
          <w:lang w:val="vi-VN"/>
        </w:rPr>
        <w:t xml:space="preserve"> phân loại lại vào nhóm nợ có rủi ro thấp hơn (kể cả nhóm 1) khi đáp ứng đầy đủ các điều kiện sau đây:</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lang w:val="vi-VN"/>
        </w:rPr>
        <w:t>(</w:t>
      </w:r>
      <w:r w:rsidRPr="003D528A">
        <w:rPr>
          <w:sz w:val="28"/>
          <w:szCs w:val="28"/>
        </w:rPr>
        <w:t>i</w:t>
      </w:r>
      <w:r w:rsidRPr="003D528A">
        <w:rPr>
          <w:sz w:val="28"/>
          <w:szCs w:val="28"/>
          <w:lang w:val="vi-VN"/>
        </w:rPr>
        <w:t xml:space="preserve">) Khách hàng đã trả đầy đủ phần nợ gốc và lãi bị quá hạn (kể cả lãi áp dụng đối với nợ gốc quá hạn) và nợ gốc và lãi của các kỳ hạn trả nợ tiếp theo </w:t>
      </w:r>
      <w:r w:rsidRPr="003D528A">
        <w:rPr>
          <w:sz w:val="28"/>
          <w:szCs w:val="28"/>
          <w:lang w:val="vi-VN"/>
        </w:rPr>
        <w:lastRenderedPageBreak/>
        <w:t>trong thời gian t</w:t>
      </w:r>
      <w:r w:rsidRPr="003D528A">
        <w:rPr>
          <w:sz w:val="28"/>
          <w:szCs w:val="28"/>
        </w:rPr>
        <w:t>ố</w:t>
      </w:r>
      <w:r w:rsidRPr="003D528A">
        <w:rPr>
          <w:sz w:val="28"/>
          <w:szCs w:val="28"/>
          <w:lang w:val="vi-VN"/>
        </w:rPr>
        <w:t>i thiểu 03 tháng đối với nợ trung và dài hạn, 01 tháng đối với nợ ngắn hạn, kể từ ngày bắt đầu trả đầy đủ nợ gốc và lãi bị quá hạn;</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(ii) </w:t>
      </w:r>
      <w:r w:rsidRPr="003D528A">
        <w:rPr>
          <w:sz w:val="28"/>
          <w:szCs w:val="28"/>
          <w:lang w:val="vi-VN"/>
        </w:rPr>
        <w:t>Có tài liệu, hồ sơ chứng minh việc khách hàng đã trả nợ;</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(iii) </w:t>
      </w:r>
      <w:r w:rsidRPr="003D528A">
        <w:rPr>
          <w:sz w:val="28"/>
          <w:szCs w:val="28"/>
          <w:lang w:val="vi-VN"/>
        </w:rPr>
        <w:t>Ngân hàng Phát triển Việt Nam có đủ cơ sở th</w:t>
      </w:r>
      <w:r w:rsidRPr="003D528A">
        <w:rPr>
          <w:sz w:val="28"/>
          <w:szCs w:val="28"/>
        </w:rPr>
        <w:t>ô</w:t>
      </w:r>
      <w:r w:rsidRPr="003D528A">
        <w:rPr>
          <w:sz w:val="28"/>
          <w:szCs w:val="28"/>
          <w:lang w:val="vi-VN"/>
        </w:rPr>
        <w:t>ng tin, tài liệu đánh giá khách hàng có khả năng trả đầy đủ nợ gốc và lãi còn lại đúng thời hạn.</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b) </w:t>
      </w:r>
      <w:r w:rsidRPr="003D528A">
        <w:rPr>
          <w:sz w:val="28"/>
          <w:szCs w:val="28"/>
          <w:lang w:val="vi-VN"/>
        </w:rPr>
        <w:t xml:space="preserve">Đối với nợ cơ cấu lại thời hạn trả nợ, Ngân hàng Phát triển Việt </w:t>
      </w:r>
      <w:smartTag w:uri="urn:schemas-microsoft-com:office:smarttags" w:element="country-region">
        <w:smartTag w:uri="urn:schemas-microsoft-com:office:smarttags" w:element="place">
          <w:r w:rsidRPr="003D528A">
            <w:rPr>
              <w:sz w:val="28"/>
              <w:szCs w:val="28"/>
              <w:lang w:val="vi-VN"/>
            </w:rPr>
            <w:t>Nam</w:t>
          </w:r>
        </w:smartTag>
      </w:smartTag>
      <w:r w:rsidRPr="003D528A">
        <w:rPr>
          <w:sz w:val="28"/>
          <w:szCs w:val="28"/>
          <w:lang w:val="vi-VN"/>
        </w:rPr>
        <w:t xml:space="preserve"> phân loại lại vào nhóm nợ có rủi ro thấp hơn (kể cả nhóm 1) khi đáp ứng đầy đủ các đi</w:t>
      </w:r>
      <w:r w:rsidRPr="003D528A">
        <w:rPr>
          <w:sz w:val="28"/>
          <w:szCs w:val="28"/>
        </w:rPr>
        <w:t>ề</w:t>
      </w:r>
      <w:r w:rsidRPr="003D528A">
        <w:rPr>
          <w:sz w:val="28"/>
          <w:szCs w:val="28"/>
          <w:lang w:val="vi-VN"/>
        </w:rPr>
        <w:t>u kiện sau đây:</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(i) </w:t>
      </w:r>
      <w:r w:rsidRPr="003D528A">
        <w:rPr>
          <w:sz w:val="28"/>
          <w:szCs w:val="28"/>
          <w:lang w:val="vi-VN"/>
        </w:rPr>
        <w:t>Khách hàng đã trả đầy đủ nợ gốc và lãi theo thời hạn trả nợ được cơ cấu lại trong thời gian tối thiểu 03 tháng đối với nợ trung và dài hạn, 01 tháng đối với nợ ngắn hạn kể từ ngày bắt đầu trả đầy đủ nợ gốc và lãi theo thời hạn được cơ cấu lại;</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(ii) </w:t>
      </w:r>
      <w:r w:rsidRPr="003D528A">
        <w:rPr>
          <w:sz w:val="28"/>
          <w:szCs w:val="28"/>
          <w:lang w:val="vi-VN"/>
        </w:rPr>
        <w:t>Có tài liệu, hồ sơ chứng minh việc khách hàng đã trả nợ;</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(iii) </w:t>
      </w:r>
      <w:r w:rsidRPr="003D528A">
        <w:rPr>
          <w:sz w:val="28"/>
          <w:szCs w:val="28"/>
          <w:lang w:val="vi-VN"/>
        </w:rPr>
        <w:t>Ngân hàng Phát triển Việt Nam có đủ cơ sở thông tin, tài liệu để đánh giá khách hàng có khả năng trả đầy đủ nợ gốc và lãi còn lại đúng thời hạn đã được cơ c</w:t>
      </w:r>
      <w:r w:rsidRPr="003D528A">
        <w:rPr>
          <w:sz w:val="28"/>
          <w:szCs w:val="28"/>
        </w:rPr>
        <w:t>ấ</w:t>
      </w:r>
      <w:r w:rsidRPr="003D528A">
        <w:rPr>
          <w:sz w:val="28"/>
          <w:szCs w:val="28"/>
          <w:lang w:val="vi-VN"/>
        </w:rPr>
        <w:t>u lại.</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3. </w:t>
      </w:r>
      <w:r w:rsidRPr="003D528A">
        <w:rPr>
          <w:sz w:val="28"/>
          <w:szCs w:val="28"/>
          <w:lang w:val="vi-VN"/>
        </w:rPr>
        <w:t>Nợ được phân loại vào nhóm nợ có rủi ro cao hơn trong các trường hợp sau đây:</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a) </w:t>
      </w:r>
      <w:r w:rsidRPr="003D528A">
        <w:rPr>
          <w:sz w:val="28"/>
          <w:szCs w:val="28"/>
          <w:lang w:val="vi-VN"/>
        </w:rPr>
        <w:t>Xảy ra các biến động bất lợi trong môi trường, lĩnh vực kinh doanh tác động tiêu cực trực tiếp đến khả năng trả nợ của khách hàng (thiên tai, địch h</w:t>
      </w:r>
      <w:r w:rsidRPr="003D528A">
        <w:rPr>
          <w:sz w:val="28"/>
          <w:szCs w:val="28"/>
        </w:rPr>
        <w:t>ọa</w:t>
      </w:r>
      <w:r w:rsidRPr="003D528A">
        <w:rPr>
          <w:sz w:val="28"/>
          <w:szCs w:val="28"/>
          <w:lang w:val="vi-VN"/>
        </w:rPr>
        <w:t>, chi</w:t>
      </w:r>
      <w:r w:rsidRPr="003D528A">
        <w:rPr>
          <w:sz w:val="28"/>
          <w:szCs w:val="28"/>
        </w:rPr>
        <w:t>ế</w:t>
      </w:r>
      <w:r w:rsidRPr="003D528A">
        <w:rPr>
          <w:sz w:val="28"/>
          <w:szCs w:val="28"/>
          <w:lang w:val="vi-VN"/>
        </w:rPr>
        <w:t>n tranh, môi trường kinh t</w:t>
      </w:r>
      <w:r w:rsidRPr="003D528A">
        <w:rPr>
          <w:sz w:val="28"/>
          <w:szCs w:val="28"/>
        </w:rPr>
        <w:t>ế</w:t>
      </w:r>
      <w:r w:rsidRPr="003D528A">
        <w:rPr>
          <w:sz w:val="28"/>
          <w:szCs w:val="28"/>
          <w:lang w:val="vi-VN"/>
        </w:rPr>
        <w:t>).</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b) </w:t>
      </w:r>
      <w:r w:rsidRPr="003D528A">
        <w:rPr>
          <w:sz w:val="28"/>
          <w:szCs w:val="28"/>
          <w:lang w:val="vi-VN"/>
        </w:rPr>
        <w:t>Các chỉ tiêu về khả năng sinh lời, khả năng thanh toán, tỷ lệ nợ trên vốn, dòng ti</w:t>
      </w:r>
      <w:r w:rsidRPr="003D528A">
        <w:rPr>
          <w:sz w:val="28"/>
          <w:szCs w:val="28"/>
        </w:rPr>
        <w:t>ề</w:t>
      </w:r>
      <w:r w:rsidRPr="003D528A">
        <w:rPr>
          <w:sz w:val="28"/>
          <w:szCs w:val="28"/>
          <w:lang w:val="vi-VN"/>
        </w:rPr>
        <w:t>n, khả năng trả nợ của khách hàng suy giảm liên tục hoặc có biến động lớn theo chi</w:t>
      </w:r>
      <w:r w:rsidRPr="003D528A">
        <w:rPr>
          <w:sz w:val="28"/>
          <w:szCs w:val="28"/>
        </w:rPr>
        <w:t>ề</w:t>
      </w:r>
      <w:r w:rsidRPr="003D528A">
        <w:rPr>
          <w:sz w:val="28"/>
          <w:szCs w:val="28"/>
          <w:lang w:val="vi-VN"/>
        </w:rPr>
        <w:t>u hướng suy giảm qua 03 l</w:t>
      </w:r>
      <w:r w:rsidRPr="003D528A">
        <w:rPr>
          <w:sz w:val="28"/>
          <w:szCs w:val="28"/>
        </w:rPr>
        <w:t>ầ</w:t>
      </w:r>
      <w:r w:rsidRPr="003D528A">
        <w:rPr>
          <w:sz w:val="28"/>
          <w:szCs w:val="28"/>
          <w:lang w:val="vi-VN"/>
        </w:rPr>
        <w:t>n đánh giá, phân loại nợ liên tục;</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c) </w:t>
      </w:r>
      <w:r w:rsidRPr="003D528A">
        <w:rPr>
          <w:sz w:val="28"/>
          <w:szCs w:val="28"/>
          <w:lang w:val="vi-VN"/>
        </w:rPr>
        <w:t xml:space="preserve">Khách hàng không cung cấp đầy đủ, kịp thời và trung thực các thông tin tài chính theo yêu cầu của Ngân hàng Phát triển Việt </w:t>
      </w:r>
      <w:smartTag w:uri="urn:schemas-microsoft-com:office:smarttags" w:element="country-region">
        <w:smartTag w:uri="urn:schemas-microsoft-com:office:smarttags" w:element="place">
          <w:r w:rsidRPr="003D528A">
            <w:rPr>
              <w:sz w:val="28"/>
              <w:szCs w:val="28"/>
              <w:lang w:val="vi-VN"/>
            </w:rPr>
            <w:t>Nam</w:t>
          </w:r>
        </w:smartTag>
      </w:smartTag>
      <w:r w:rsidRPr="003D528A">
        <w:rPr>
          <w:sz w:val="28"/>
          <w:szCs w:val="28"/>
          <w:lang w:val="vi-VN"/>
        </w:rPr>
        <w:t xml:space="preserve"> để đánh giá khả năng trả nợ của khách hàng.</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4. </w:t>
      </w:r>
      <w:r w:rsidRPr="003D528A">
        <w:rPr>
          <w:sz w:val="28"/>
          <w:szCs w:val="28"/>
          <w:lang w:val="vi-VN"/>
        </w:rPr>
        <w:t>Phân loại cam kết ngoại bảng và khoản trả thay theo cam kết ngoại bảng:</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a) </w:t>
      </w:r>
      <w:r w:rsidRPr="003D528A">
        <w:rPr>
          <w:sz w:val="28"/>
          <w:szCs w:val="28"/>
          <w:lang w:val="vi-VN"/>
        </w:rPr>
        <w:t>Phân loại cam kết ngoại bảng:</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(i) </w:t>
      </w:r>
      <w:r w:rsidRPr="003D528A">
        <w:rPr>
          <w:sz w:val="28"/>
          <w:szCs w:val="28"/>
          <w:lang w:val="vi-VN"/>
        </w:rPr>
        <w:t xml:space="preserve">Phân loại vào nhóm 1 nếu Ngân hàng Phát triển Việt </w:t>
      </w:r>
      <w:smartTag w:uri="urn:schemas-microsoft-com:office:smarttags" w:element="country-region">
        <w:smartTag w:uri="urn:schemas-microsoft-com:office:smarttags" w:element="place">
          <w:r w:rsidRPr="003D528A">
            <w:rPr>
              <w:sz w:val="28"/>
              <w:szCs w:val="28"/>
              <w:lang w:val="vi-VN"/>
            </w:rPr>
            <w:t>Nam</w:t>
          </w:r>
        </w:smartTag>
      </w:smartTag>
      <w:r w:rsidRPr="003D528A">
        <w:rPr>
          <w:sz w:val="28"/>
          <w:szCs w:val="28"/>
          <w:lang w:val="vi-VN"/>
        </w:rPr>
        <w:t xml:space="preserve"> đánh giá khách hàng có khả năng thực hiện đầy đủ các nghĩa vụ theo cam kết.</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(ii) </w:t>
      </w:r>
      <w:r w:rsidRPr="003D528A">
        <w:rPr>
          <w:sz w:val="28"/>
          <w:szCs w:val="28"/>
          <w:lang w:val="vi-VN"/>
        </w:rPr>
        <w:t xml:space="preserve">Phân loại vào nhóm 2 trở lên nếu Ngân hàng Phát triển Việt </w:t>
      </w:r>
      <w:smartTag w:uri="urn:schemas-microsoft-com:office:smarttags" w:element="country-region">
        <w:smartTag w:uri="urn:schemas-microsoft-com:office:smarttags" w:element="place">
          <w:r w:rsidRPr="003D528A">
            <w:rPr>
              <w:sz w:val="28"/>
              <w:szCs w:val="28"/>
              <w:lang w:val="vi-VN"/>
            </w:rPr>
            <w:t>Nam</w:t>
          </w:r>
        </w:smartTag>
      </w:smartTag>
      <w:r w:rsidRPr="003D528A">
        <w:rPr>
          <w:sz w:val="28"/>
          <w:szCs w:val="28"/>
          <w:lang w:val="vi-VN"/>
        </w:rPr>
        <w:t xml:space="preserve"> đánh giá khách hàng không có khả năng thực hiện các nghĩa vụ theo cam kết.</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b) </w:t>
      </w:r>
      <w:r w:rsidRPr="003D528A">
        <w:rPr>
          <w:sz w:val="28"/>
          <w:szCs w:val="28"/>
          <w:lang w:val="vi-VN"/>
        </w:rPr>
        <w:t>Phân loại khoản trả thay theo cam kết ngoại bảng:</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lang w:val="vi-VN"/>
        </w:rPr>
        <w:t>(i) Ngày quá hạn được tính ngay từ ngày Ngân hàng Phát triển Việt Nam thực hiện nghĩa vụ theo cam kết.</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lang w:val="vi-VN"/>
        </w:rPr>
        <w:lastRenderedPageBreak/>
        <w:t>(</w:t>
      </w:r>
      <w:r w:rsidRPr="003D528A">
        <w:rPr>
          <w:sz w:val="28"/>
          <w:szCs w:val="28"/>
        </w:rPr>
        <w:t>ii</w:t>
      </w:r>
      <w:r w:rsidRPr="003D528A">
        <w:rPr>
          <w:sz w:val="28"/>
          <w:szCs w:val="28"/>
          <w:lang w:val="vi-VN"/>
        </w:rPr>
        <w:t>) Khoản trả thay theo cam k</w:t>
      </w:r>
      <w:r w:rsidRPr="003D528A">
        <w:rPr>
          <w:sz w:val="28"/>
          <w:szCs w:val="28"/>
        </w:rPr>
        <w:t>ế</w:t>
      </w:r>
      <w:r w:rsidRPr="003D528A">
        <w:rPr>
          <w:sz w:val="28"/>
          <w:szCs w:val="28"/>
          <w:lang w:val="vi-VN"/>
        </w:rPr>
        <w:t>t ngoại bảng được phân loại như sau:</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 </w:t>
      </w:r>
      <w:r w:rsidRPr="003D528A">
        <w:rPr>
          <w:sz w:val="28"/>
          <w:szCs w:val="28"/>
          <w:lang w:val="vi-VN"/>
        </w:rPr>
        <w:t>Phân loại vào nhóm 3 nếu quá hạn dưới 30 ngày;</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 </w:t>
      </w:r>
      <w:r w:rsidRPr="003D528A">
        <w:rPr>
          <w:sz w:val="28"/>
          <w:szCs w:val="28"/>
          <w:lang w:val="vi-VN"/>
        </w:rPr>
        <w:t>Phân loại vào nhóm 4 nếu quá hạn từ 30 ngày đến dưới 90 ngày</w:t>
      </w:r>
      <w:r w:rsidRPr="003D528A">
        <w:rPr>
          <w:sz w:val="28"/>
          <w:szCs w:val="28"/>
        </w:rPr>
        <w:t>;</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 </w:t>
      </w:r>
      <w:r w:rsidRPr="003D528A">
        <w:rPr>
          <w:sz w:val="28"/>
          <w:szCs w:val="28"/>
          <w:lang w:val="vi-VN"/>
        </w:rPr>
        <w:t>Phân loại vào nhóm 5 nếu quá hạn từ 90 ngày trở lên.</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lang w:val="vi-VN"/>
        </w:rPr>
        <w:t>Trường hợp khoản trả thay theo cam kết ngoại bảng phân loại vào nhóm có mức độ rủi ro thấp hơn nhóm mà cam kết ngoại bảng được trả thay đã phân loại theo quy định tại tiết (ii) điểm a khoản này thì phải chuyển vào nhóm m</w:t>
      </w:r>
      <w:r w:rsidRPr="003D528A">
        <w:rPr>
          <w:sz w:val="28"/>
          <w:szCs w:val="28"/>
        </w:rPr>
        <w:t xml:space="preserve">à </w:t>
      </w:r>
      <w:r w:rsidRPr="003D528A">
        <w:rPr>
          <w:sz w:val="28"/>
          <w:szCs w:val="28"/>
          <w:lang w:val="vi-VN"/>
        </w:rPr>
        <w:t>cam kết ngoại bảng đó đã phân loại theo quy định tại tiết (ii) điểm a khoản này.</w:t>
      </w:r>
    </w:p>
    <w:p w:rsidR="003D528A" w:rsidRPr="003D528A" w:rsidRDefault="003D528A" w:rsidP="00300792">
      <w:pPr>
        <w:pStyle w:val="NormalWeb"/>
        <w:spacing w:before="120" w:beforeAutospacing="0" w:after="120" w:afterAutospacing="0" w:line="340" w:lineRule="exact"/>
        <w:jc w:val="center"/>
        <w:divId w:val="2118258417"/>
        <w:rPr>
          <w:b/>
          <w:bCs/>
          <w:sz w:val="28"/>
          <w:szCs w:val="28"/>
        </w:rPr>
      </w:pPr>
      <w:bookmarkStart w:id="14" w:name="muc_2"/>
      <w:r w:rsidRPr="003D528A">
        <w:rPr>
          <w:b/>
          <w:bCs/>
          <w:sz w:val="28"/>
          <w:szCs w:val="28"/>
          <w:lang w:val="vi-VN"/>
        </w:rPr>
        <w:t>M</w:t>
      </w:r>
      <w:r w:rsidRPr="003D528A">
        <w:rPr>
          <w:b/>
          <w:bCs/>
          <w:sz w:val="28"/>
          <w:szCs w:val="28"/>
        </w:rPr>
        <w:t xml:space="preserve">ục </w:t>
      </w:r>
      <w:r w:rsidRPr="003D528A">
        <w:rPr>
          <w:b/>
          <w:bCs/>
          <w:sz w:val="28"/>
          <w:szCs w:val="28"/>
          <w:lang w:val="vi-VN"/>
        </w:rPr>
        <w:t>2</w:t>
      </w:r>
    </w:p>
    <w:p w:rsidR="003D528A" w:rsidRPr="003D528A" w:rsidRDefault="003D528A" w:rsidP="00300792">
      <w:pPr>
        <w:pStyle w:val="NormalWeb"/>
        <w:spacing w:before="120" w:beforeAutospacing="0" w:after="120" w:afterAutospacing="0" w:line="340" w:lineRule="exact"/>
        <w:jc w:val="center"/>
        <w:divId w:val="2118258417"/>
        <w:rPr>
          <w:sz w:val="28"/>
          <w:szCs w:val="28"/>
        </w:rPr>
      </w:pPr>
      <w:r w:rsidRPr="003D528A">
        <w:rPr>
          <w:b/>
          <w:bCs/>
          <w:sz w:val="28"/>
          <w:szCs w:val="28"/>
          <w:lang w:val="vi-VN"/>
        </w:rPr>
        <w:t>QUẢN LÝ PHÂN LOẠI NỢ, CAM KẾT NGOẠI BẢNG</w:t>
      </w:r>
      <w:bookmarkEnd w:id="14"/>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bookmarkStart w:id="15" w:name="dieu_9"/>
      <w:r w:rsidRPr="003D528A">
        <w:rPr>
          <w:b/>
          <w:bCs/>
          <w:sz w:val="28"/>
          <w:szCs w:val="28"/>
          <w:lang w:val="vi-VN"/>
        </w:rPr>
        <w:t>Điều 9. Quản lý phân loại nợ, cam kết ngoại bảng</w:t>
      </w:r>
      <w:bookmarkEnd w:id="15"/>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1. </w:t>
      </w:r>
      <w:r w:rsidRPr="003D528A">
        <w:rPr>
          <w:sz w:val="28"/>
          <w:szCs w:val="28"/>
          <w:lang w:val="vi-VN"/>
        </w:rPr>
        <w:t>Ngân hàng Phát triển Việt Nam phải có một bộ phận quản lý phân loại nợ, cam kết ngoại bảng (phòng, ban hoặc tương đư</w:t>
      </w:r>
      <w:r w:rsidRPr="003D528A">
        <w:rPr>
          <w:sz w:val="28"/>
          <w:szCs w:val="28"/>
        </w:rPr>
        <w:t>ơ</w:t>
      </w:r>
      <w:r w:rsidRPr="003D528A">
        <w:rPr>
          <w:sz w:val="28"/>
          <w:szCs w:val="28"/>
          <w:lang w:val="vi-VN"/>
        </w:rPr>
        <w:t>ng) tại trụ sở chính để qu</w:t>
      </w:r>
      <w:r w:rsidRPr="003D528A">
        <w:rPr>
          <w:sz w:val="28"/>
          <w:szCs w:val="28"/>
        </w:rPr>
        <w:t>ả</w:t>
      </w:r>
      <w:r w:rsidRPr="003D528A">
        <w:rPr>
          <w:sz w:val="28"/>
          <w:szCs w:val="28"/>
          <w:lang w:val="vi-VN"/>
        </w:rPr>
        <w:t>n lý việc thực hiện việc phân loại nợ, cam kết ngoại bảng trong toàn hệ thống.</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2. </w:t>
      </w:r>
      <w:r w:rsidRPr="003D528A">
        <w:rPr>
          <w:sz w:val="28"/>
          <w:szCs w:val="28"/>
          <w:lang w:val="vi-VN"/>
        </w:rPr>
        <w:t>Trách nhiệm của bộ phận quản lý phân loại nợ, cam kết ngoại bảng:</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a) </w:t>
      </w:r>
      <w:r w:rsidRPr="003D528A">
        <w:rPr>
          <w:sz w:val="28"/>
          <w:szCs w:val="28"/>
          <w:lang w:val="vi-VN"/>
        </w:rPr>
        <w:t xml:space="preserve">Tổng hợp, báo cáo Hội đồng </w:t>
      </w:r>
      <w:r w:rsidR="005F7F45">
        <w:rPr>
          <w:sz w:val="28"/>
          <w:szCs w:val="28"/>
        </w:rPr>
        <w:t>quản trị</w:t>
      </w:r>
      <w:r w:rsidR="00B85942">
        <w:rPr>
          <w:rStyle w:val="FootnoteReference"/>
          <w:sz w:val="28"/>
          <w:szCs w:val="28"/>
        </w:rPr>
        <w:footnoteReference w:id="4"/>
      </w:r>
      <w:r w:rsidR="005F7F45">
        <w:rPr>
          <w:sz w:val="28"/>
          <w:szCs w:val="28"/>
        </w:rPr>
        <w:t xml:space="preserve"> </w:t>
      </w:r>
      <w:r w:rsidRPr="003D528A">
        <w:rPr>
          <w:sz w:val="28"/>
          <w:szCs w:val="28"/>
          <w:lang w:val="vi-VN"/>
        </w:rPr>
        <w:t>kết quả phân loại nợ, cam kết ngoại bảng; đ</w:t>
      </w:r>
      <w:r w:rsidRPr="003D528A">
        <w:rPr>
          <w:sz w:val="28"/>
          <w:szCs w:val="28"/>
        </w:rPr>
        <w:t>ề</w:t>
      </w:r>
      <w:r w:rsidRPr="003D528A">
        <w:rPr>
          <w:sz w:val="28"/>
          <w:szCs w:val="28"/>
          <w:lang w:val="vi-VN"/>
        </w:rPr>
        <w:t xml:space="preserve"> xu</w:t>
      </w:r>
      <w:r w:rsidRPr="003D528A">
        <w:rPr>
          <w:sz w:val="28"/>
          <w:szCs w:val="28"/>
        </w:rPr>
        <w:t>ấ</w:t>
      </w:r>
      <w:r w:rsidRPr="003D528A">
        <w:rPr>
          <w:sz w:val="28"/>
          <w:szCs w:val="28"/>
          <w:lang w:val="vi-VN"/>
        </w:rPr>
        <w:t xml:space="preserve">t </w:t>
      </w:r>
      <w:r w:rsidR="005F7F45" w:rsidRPr="003D528A">
        <w:rPr>
          <w:sz w:val="28"/>
          <w:szCs w:val="28"/>
          <w:lang w:val="vi-VN"/>
        </w:rPr>
        <w:t xml:space="preserve">Hội đồng </w:t>
      </w:r>
      <w:r w:rsidR="005F7F45">
        <w:rPr>
          <w:sz w:val="28"/>
          <w:szCs w:val="28"/>
        </w:rPr>
        <w:t>quản trị</w:t>
      </w:r>
      <w:r w:rsidR="00B85942">
        <w:rPr>
          <w:rStyle w:val="FootnoteReference"/>
          <w:sz w:val="28"/>
          <w:szCs w:val="28"/>
        </w:rPr>
        <w:footnoteReference w:id="5"/>
      </w:r>
      <w:r w:rsidR="005F7F45">
        <w:rPr>
          <w:sz w:val="28"/>
          <w:szCs w:val="28"/>
        </w:rPr>
        <w:t xml:space="preserve"> </w:t>
      </w:r>
      <w:r w:rsidRPr="003D528A">
        <w:rPr>
          <w:sz w:val="28"/>
          <w:szCs w:val="28"/>
          <w:lang w:val="vi-VN"/>
        </w:rPr>
        <w:t>các biện pháp quản lý n</w:t>
      </w:r>
      <w:r w:rsidRPr="003D528A">
        <w:rPr>
          <w:sz w:val="28"/>
          <w:szCs w:val="28"/>
        </w:rPr>
        <w:t xml:space="preserve">ợ </w:t>
      </w:r>
      <w:r w:rsidRPr="003D528A">
        <w:rPr>
          <w:sz w:val="28"/>
          <w:szCs w:val="28"/>
          <w:lang w:val="vi-VN"/>
        </w:rPr>
        <w:t>xấu, thu hồi n</w:t>
      </w:r>
      <w:r w:rsidRPr="003D528A">
        <w:rPr>
          <w:sz w:val="28"/>
          <w:szCs w:val="28"/>
        </w:rPr>
        <w:t xml:space="preserve">ợ </w:t>
      </w:r>
      <w:r w:rsidRPr="003D528A">
        <w:rPr>
          <w:sz w:val="28"/>
          <w:szCs w:val="28"/>
          <w:lang w:val="vi-VN"/>
        </w:rPr>
        <w:t>triệt để;</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b) </w:t>
      </w:r>
      <w:r w:rsidRPr="003D528A">
        <w:rPr>
          <w:sz w:val="28"/>
          <w:szCs w:val="28"/>
          <w:lang w:val="vi-VN"/>
        </w:rPr>
        <w:t>Cung c</w:t>
      </w:r>
      <w:r w:rsidRPr="003D528A">
        <w:rPr>
          <w:sz w:val="28"/>
          <w:szCs w:val="28"/>
        </w:rPr>
        <w:t>ấ</w:t>
      </w:r>
      <w:r w:rsidRPr="003D528A">
        <w:rPr>
          <w:sz w:val="28"/>
          <w:szCs w:val="28"/>
          <w:lang w:val="vi-VN"/>
        </w:rPr>
        <w:t>p thông tin, phối hợp với các đơn vị chức năng (phòng, ban hoặc tương đương) tại trụ sở chính trong việc xây dựng, trình Tổng giám đ</w:t>
      </w:r>
      <w:r w:rsidRPr="003D528A">
        <w:rPr>
          <w:sz w:val="28"/>
          <w:szCs w:val="28"/>
        </w:rPr>
        <w:t>ố</w:t>
      </w:r>
      <w:r w:rsidRPr="003D528A">
        <w:rPr>
          <w:sz w:val="28"/>
          <w:szCs w:val="28"/>
          <w:lang w:val="vi-VN"/>
        </w:rPr>
        <w:t>c để</w:t>
      </w:r>
      <w:r w:rsidRPr="003D528A">
        <w:rPr>
          <w:sz w:val="28"/>
          <w:szCs w:val="28"/>
        </w:rPr>
        <w:t xml:space="preserve"> trình Hội đồng </w:t>
      </w:r>
      <w:r w:rsidR="005F7F45">
        <w:rPr>
          <w:sz w:val="28"/>
          <w:szCs w:val="28"/>
        </w:rPr>
        <w:t>quản trị</w:t>
      </w:r>
      <w:r w:rsidR="005F7F45">
        <w:rPr>
          <w:rStyle w:val="FootnoteReference"/>
          <w:sz w:val="28"/>
          <w:szCs w:val="28"/>
        </w:rPr>
        <w:footnoteReference w:id="6"/>
      </w:r>
      <w:r w:rsidRPr="003D528A">
        <w:rPr>
          <w:sz w:val="28"/>
          <w:szCs w:val="28"/>
          <w:lang w:val="vi-VN"/>
        </w:rPr>
        <w:t xml:space="preserve"> ban h</w:t>
      </w:r>
      <w:r w:rsidRPr="003D528A">
        <w:rPr>
          <w:sz w:val="28"/>
          <w:szCs w:val="28"/>
        </w:rPr>
        <w:t>à</w:t>
      </w:r>
      <w:r w:rsidRPr="003D528A">
        <w:rPr>
          <w:sz w:val="28"/>
          <w:szCs w:val="28"/>
          <w:lang w:val="vi-VN"/>
        </w:rPr>
        <w:t>nh hoặc sửa đ</w:t>
      </w:r>
      <w:r w:rsidRPr="003D528A">
        <w:rPr>
          <w:sz w:val="28"/>
          <w:szCs w:val="28"/>
        </w:rPr>
        <w:t>ổ</w:t>
      </w:r>
      <w:r w:rsidRPr="003D528A">
        <w:rPr>
          <w:sz w:val="28"/>
          <w:szCs w:val="28"/>
          <w:lang w:val="vi-VN"/>
        </w:rPr>
        <w:t>i, b</w:t>
      </w:r>
      <w:r w:rsidRPr="003D528A">
        <w:rPr>
          <w:sz w:val="28"/>
          <w:szCs w:val="28"/>
        </w:rPr>
        <w:t>ổ</w:t>
      </w:r>
      <w:r w:rsidRPr="003D528A">
        <w:rPr>
          <w:sz w:val="28"/>
          <w:szCs w:val="28"/>
          <w:lang w:val="vi-VN"/>
        </w:rPr>
        <w:t xml:space="preserve"> sung quy đ</w:t>
      </w:r>
      <w:r w:rsidRPr="003D528A">
        <w:rPr>
          <w:sz w:val="28"/>
          <w:szCs w:val="28"/>
        </w:rPr>
        <w:t>ị</w:t>
      </w:r>
      <w:r w:rsidRPr="003D528A">
        <w:rPr>
          <w:sz w:val="28"/>
          <w:szCs w:val="28"/>
          <w:lang w:val="vi-VN"/>
        </w:rPr>
        <w:t>nh nội bộ về cấp tín dụng, quản lý tiền vay của Ngân hàng Phát triển Việt Nam đối v</w:t>
      </w:r>
      <w:r w:rsidRPr="003D528A">
        <w:rPr>
          <w:sz w:val="28"/>
          <w:szCs w:val="28"/>
        </w:rPr>
        <w:t>ớ</w:t>
      </w:r>
      <w:r w:rsidRPr="003D528A">
        <w:rPr>
          <w:sz w:val="28"/>
          <w:szCs w:val="28"/>
          <w:lang w:val="vi-VN"/>
        </w:rPr>
        <w:t>i kh</w:t>
      </w:r>
      <w:r w:rsidRPr="003D528A">
        <w:rPr>
          <w:sz w:val="28"/>
          <w:szCs w:val="28"/>
        </w:rPr>
        <w:t>á</w:t>
      </w:r>
      <w:r w:rsidRPr="003D528A">
        <w:rPr>
          <w:sz w:val="28"/>
          <w:szCs w:val="28"/>
          <w:lang w:val="vi-VN"/>
        </w:rPr>
        <w:t>ch hàng;</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c) </w:t>
      </w:r>
      <w:r w:rsidRPr="003D528A">
        <w:rPr>
          <w:sz w:val="28"/>
          <w:szCs w:val="28"/>
          <w:lang w:val="vi-VN"/>
        </w:rPr>
        <w:t>Thực hiện nhiệm vụ khác theo quy định của Ngân hàng Phát triển Vi</w:t>
      </w:r>
      <w:r w:rsidRPr="003D528A">
        <w:rPr>
          <w:sz w:val="28"/>
          <w:szCs w:val="28"/>
        </w:rPr>
        <w:t>ệ</w:t>
      </w:r>
      <w:r w:rsidRPr="003D528A">
        <w:rPr>
          <w:sz w:val="28"/>
          <w:szCs w:val="28"/>
          <w:lang w:val="vi-VN"/>
        </w:rPr>
        <w:t xml:space="preserve">t </w:t>
      </w:r>
      <w:smartTag w:uri="urn:schemas-microsoft-com:office:smarttags" w:element="country-region">
        <w:smartTag w:uri="urn:schemas-microsoft-com:office:smarttags" w:element="place">
          <w:r w:rsidRPr="003D528A">
            <w:rPr>
              <w:sz w:val="28"/>
              <w:szCs w:val="28"/>
              <w:lang w:val="vi-VN"/>
            </w:rPr>
            <w:t>Nam</w:t>
          </w:r>
        </w:smartTag>
      </w:smartTag>
      <w:r w:rsidRPr="003D528A">
        <w:rPr>
          <w:sz w:val="28"/>
          <w:szCs w:val="28"/>
          <w:lang w:val="vi-VN"/>
        </w:rPr>
        <w:t>.</w:t>
      </w:r>
    </w:p>
    <w:p w:rsidR="003D528A" w:rsidRPr="003D528A" w:rsidRDefault="003D528A" w:rsidP="00300792">
      <w:pPr>
        <w:pStyle w:val="NormalWeb"/>
        <w:spacing w:before="120" w:beforeAutospacing="0" w:after="120" w:afterAutospacing="0" w:line="340" w:lineRule="exact"/>
        <w:jc w:val="center"/>
        <w:divId w:val="2118258417"/>
        <w:rPr>
          <w:b/>
          <w:bCs/>
          <w:sz w:val="28"/>
          <w:szCs w:val="28"/>
        </w:rPr>
      </w:pPr>
      <w:bookmarkStart w:id="16" w:name="muc_3"/>
      <w:r w:rsidRPr="003D528A">
        <w:rPr>
          <w:b/>
          <w:bCs/>
          <w:sz w:val="28"/>
          <w:szCs w:val="28"/>
          <w:lang w:val="vi-VN"/>
        </w:rPr>
        <w:lastRenderedPageBreak/>
        <w:t>M</w:t>
      </w:r>
      <w:r w:rsidRPr="003D528A">
        <w:rPr>
          <w:b/>
          <w:bCs/>
          <w:sz w:val="28"/>
          <w:szCs w:val="28"/>
        </w:rPr>
        <w:t>ục 3</w:t>
      </w:r>
    </w:p>
    <w:p w:rsidR="003D528A" w:rsidRPr="003D528A" w:rsidRDefault="003D528A" w:rsidP="00300792">
      <w:pPr>
        <w:pStyle w:val="NormalWeb"/>
        <w:spacing w:before="120" w:beforeAutospacing="0" w:after="120" w:afterAutospacing="0" w:line="340" w:lineRule="exact"/>
        <w:jc w:val="center"/>
        <w:divId w:val="2118258417"/>
        <w:rPr>
          <w:sz w:val="28"/>
          <w:szCs w:val="28"/>
        </w:rPr>
      </w:pPr>
      <w:r w:rsidRPr="003D528A">
        <w:rPr>
          <w:b/>
          <w:bCs/>
          <w:sz w:val="28"/>
          <w:szCs w:val="28"/>
          <w:lang w:val="vi-VN"/>
        </w:rPr>
        <w:t>BÁO CÁO</w:t>
      </w:r>
      <w:bookmarkEnd w:id="16"/>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bookmarkStart w:id="17" w:name="dieu_10"/>
      <w:r w:rsidRPr="003D528A">
        <w:rPr>
          <w:b/>
          <w:bCs/>
          <w:sz w:val="28"/>
          <w:szCs w:val="28"/>
          <w:lang w:val="vi-VN"/>
        </w:rPr>
        <w:t>Điều 10. Báo cáo</w:t>
      </w:r>
      <w:bookmarkEnd w:id="17"/>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lang w:val="vi-VN"/>
        </w:rPr>
        <w:t>Ngân h</w:t>
      </w:r>
      <w:r w:rsidRPr="003D528A">
        <w:rPr>
          <w:sz w:val="28"/>
          <w:szCs w:val="28"/>
        </w:rPr>
        <w:t>à</w:t>
      </w:r>
      <w:r w:rsidRPr="003D528A">
        <w:rPr>
          <w:sz w:val="28"/>
          <w:szCs w:val="28"/>
          <w:lang w:val="vi-VN"/>
        </w:rPr>
        <w:t>ng Ph</w:t>
      </w:r>
      <w:r w:rsidRPr="003D528A">
        <w:rPr>
          <w:sz w:val="28"/>
          <w:szCs w:val="28"/>
        </w:rPr>
        <w:t>á</w:t>
      </w:r>
      <w:r w:rsidRPr="003D528A">
        <w:rPr>
          <w:sz w:val="28"/>
          <w:szCs w:val="28"/>
          <w:lang w:val="vi-VN"/>
        </w:rPr>
        <w:t>t t</w:t>
      </w:r>
      <w:r w:rsidRPr="003D528A">
        <w:rPr>
          <w:sz w:val="28"/>
          <w:szCs w:val="28"/>
        </w:rPr>
        <w:t>riể</w:t>
      </w:r>
      <w:r w:rsidRPr="003D528A">
        <w:rPr>
          <w:sz w:val="28"/>
          <w:szCs w:val="28"/>
          <w:lang w:val="vi-VN"/>
        </w:rPr>
        <w:t xml:space="preserve">n </w:t>
      </w:r>
      <w:r w:rsidRPr="003D528A">
        <w:rPr>
          <w:sz w:val="28"/>
          <w:szCs w:val="28"/>
        </w:rPr>
        <w:t xml:space="preserve">Việt </w:t>
      </w:r>
      <w:r w:rsidRPr="003D528A">
        <w:rPr>
          <w:sz w:val="28"/>
          <w:szCs w:val="28"/>
          <w:lang w:val="vi-VN"/>
        </w:rPr>
        <w:t>Nam b</w:t>
      </w:r>
      <w:r w:rsidRPr="003D528A">
        <w:rPr>
          <w:sz w:val="28"/>
          <w:szCs w:val="28"/>
        </w:rPr>
        <w:t>áo</w:t>
      </w:r>
      <w:r w:rsidRPr="003D528A">
        <w:rPr>
          <w:sz w:val="28"/>
          <w:szCs w:val="28"/>
          <w:lang w:val="vi-VN"/>
        </w:rPr>
        <w:t xml:space="preserve"> cáo k</w:t>
      </w:r>
      <w:r w:rsidRPr="003D528A">
        <w:rPr>
          <w:sz w:val="28"/>
          <w:szCs w:val="28"/>
        </w:rPr>
        <w:t>ế</w:t>
      </w:r>
      <w:r w:rsidRPr="003D528A">
        <w:rPr>
          <w:sz w:val="28"/>
          <w:szCs w:val="28"/>
          <w:lang w:val="vi-VN"/>
        </w:rPr>
        <w:t xml:space="preserve">t quả phân </w:t>
      </w:r>
      <w:r w:rsidRPr="003D528A">
        <w:rPr>
          <w:sz w:val="28"/>
          <w:szCs w:val="28"/>
        </w:rPr>
        <w:t>l</w:t>
      </w:r>
      <w:r w:rsidRPr="003D528A">
        <w:rPr>
          <w:sz w:val="28"/>
          <w:szCs w:val="28"/>
          <w:lang w:val="vi-VN"/>
        </w:rPr>
        <w:t>oạ</w:t>
      </w:r>
      <w:r w:rsidRPr="003D528A">
        <w:rPr>
          <w:sz w:val="28"/>
          <w:szCs w:val="28"/>
        </w:rPr>
        <w:t xml:space="preserve">i </w:t>
      </w:r>
      <w:r w:rsidRPr="003D528A">
        <w:rPr>
          <w:sz w:val="28"/>
          <w:szCs w:val="28"/>
          <w:lang w:val="vi-VN"/>
        </w:rPr>
        <w:t>nợ và cam kết ngoại bảng</w:t>
      </w:r>
      <w:r w:rsidR="005E353A">
        <w:rPr>
          <w:sz w:val="28"/>
          <w:szCs w:val="28"/>
        </w:rPr>
        <w:t>,</w:t>
      </w:r>
      <w:r w:rsidRPr="003D528A">
        <w:rPr>
          <w:sz w:val="28"/>
          <w:szCs w:val="28"/>
          <w:lang w:val="vi-VN"/>
        </w:rPr>
        <w:t xml:space="preserve"> trích lập dự phòng và sử dụng dự phòng để xử lý rủi ro theo quy định v</w:t>
      </w:r>
      <w:r w:rsidRPr="003D528A">
        <w:rPr>
          <w:sz w:val="28"/>
          <w:szCs w:val="28"/>
        </w:rPr>
        <w:t>ề</w:t>
      </w:r>
      <w:r w:rsidRPr="003D528A">
        <w:rPr>
          <w:sz w:val="28"/>
          <w:szCs w:val="28"/>
          <w:lang w:val="vi-VN"/>
        </w:rPr>
        <w:t xml:space="preserve"> báo cáo th</w:t>
      </w:r>
      <w:r w:rsidRPr="003D528A">
        <w:rPr>
          <w:sz w:val="28"/>
          <w:szCs w:val="28"/>
        </w:rPr>
        <w:t>ố</w:t>
      </w:r>
      <w:r w:rsidRPr="003D528A">
        <w:rPr>
          <w:sz w:val="28"/>
          <w:szCs w:val="28"/>
          <w:lang w:val="vi-VN"/>
        </w:rPr>
        <w:t>ng kê áp dụng đối với các t</w:t>
      </w:r>
      <w:r w:rsidRPr="003D528A">
        <w:rPr>
          <w:sz w:val="28"/>
          <w:szCs w:val="28"/>
        </w:rPr>
        <w:t xml:space="preserve">ổ </w:t>
      </w:r>
      <w:r w:rsidRPr="003D528A">
        <w:rPr>
          <w:sz w:val="28"/>
          <w:szCs w:val="28"/>
          <w:lang w:val="vi-VN"/>
        </w:rPr>
        <w:t>chức tín dụng, chi nhánh ng</w:t>
      </w:r>
      <w:r w:rsidRPr="003D528A">
        <w:rPr>
          <w:sz w:val="28"/>
          <w:szCs w:val="28"/>
        </w:rPr>
        <w:t>â</w:t>
      </w:r>
      <w:r w:rsidRPr="003D528A">
        <w:rPr>
          <w:sz w:val="28"/>
          <w:szCs w:val="28"/>
          <w:lang w:val="vi-VN"/>
        </w:rPr>
        <w:t>n hàng nước ngoài do Ngân hàng Nhà nước ban hành; báo cáo Bộ Tài chính</w:t>
      </w:r>
      <w:r w:rsidRPr="003D528A">
        <w:rPr>
          <w:sz w:val="28"/>
          <w:szCs w:val="28"/>
        </w:rPr>
        <w:t>,</w:t>
      </w:r>
      <w:r w:rsidRPr="003D528A">
        <w:rPr>
          <w:sz w:val="28"/>
          <w:szCs w:val="28"/>
          <w:lang w:val="vi-VN"/>
        </w:rPr>
        <w:t xml:space="preserve"> B</w:t>
      </w:r>
      <w:r w:rsidR="005E353A">
        <w:rPr>
          <w:sz w:val="28"/>
          <w:szCs w:val="28"/>
        </w:rPr>
        <w:t>ộ</w:t>
      </w:r>
      <w:r w:rsidRPr="003D528A">
        <w:rPr>
          <w:sz w:val="28"/>
          <w:szCs w:val="28"/>
          <w:lang w:val="vi-VN"/>
        </w:rPr>
        <w:t xml:space="preserve"> K</w:t>
      </w:r>
      <w:r w:rsidRPr="003D528A">
        <w:rPr>
          <w:sz w:val="28"/>
          <w:szCs w:val="28"/>
        </w:rPr>
        <w:t xml:space="preserve">ế </w:t>
      </w:r>
      <w:r w:rsidRPr="003D528A">
        <w:rPr>
          <w:sz w:val="28"/>
          <w:szCs w:val="28"/>
          <w:lang w:val="vi-VN"/>
        </w:rPr>
        <w:t>hoạch và Đ</w:t>
      </w:r>
      <w:r w:rsidRPr="003D528A">
        <w:rPr>
          <w:sz w:val="28"/>
          <w:szCs w:val="28"/>
        </w:rPr>
        <w:t>ầ</w:t>
      </w:r>
      <w:r w:rsidRPr="003D528A">
        <w:rPr>
          <w:sz w:val="28"/>
          <w:szCs w:val="28"/>
          <w:lang w:val="vi-VN"/>
        </w:rPr>
        <w:t>u tư k</w:t>
      </w:r>
      <w:r w:rsidRPr="003D528A">
        <w:rPr>
          <w:sz w:val="28"/>
          <w:szCs w:val="28"/>
        </w:rPr>
        <w:t>ế</w:t>
      </w:r>
      <w:r w:rsidRPr="003D528A">
        <w:rPr>
          <w:sz w:val="28"/>
          <w:szCs w:val="28"/>
          <w:lang w:val="vi-VN"/>
        </w:rPr>
        <w:t>t quả phân loại nợ, cam kết ngoại bảng hàng quý theo Ph</w:t>
      </w:r>
      <w:r w:rsidRPr="003D528A">
        <w:rPr>
          <w:sz w:val="28"/>
          <w:szCs w:val="28"/>
        </w:rPr>
        <w:t xml:space="preserve">ụ </w:t>
      </w:r>
      <w:r w:rsidRPr="003D528A">
        <w:rPr>
          <w:sz w:val="28"/>
          <w:szCs w:val="28"/>
          <w:lang w:val="vi-VN"/>
        </w:rPr>
        <w:t>lục đính kèm Thông tư này.</w:t>
      </w:r>
    </w:p>
    <w:p w:rsidR="003D528A" w:rsidRPr="003D528A" w:rsidRDefault="003D528A" w:rsidP="00300792">
      <w:pPr>
        <w:pStyle w:val="NormalWeb"/>
        <w:spacing w:before="120" w:beforeAutospacing="0" w:after="120" w:afterAutospacing="0" w:line="340" w:lineRule="exact"/>
        <w:jc w:val="center"/>
        <w:divId w:val="2118258417"/>
        <w:rPr>
          <w:sz w:val="28"/>
          <w:szCs w:val="28"/>
        </w:rPr>
      </w:pPr>
      <w:bookmarkStart w:id="18" w:name="chuong_3"/>
      <w:r w:rsidRPr="003D528A">
        <w:rPr>
          <w:b/>
          <w:bCs/>
          <w:sz w:val="28"/>
          <w:szCs w:val="28"/>
          <w:lang w:val="vi-VN"/>
        </w:rPr>
        <w:t xml:space="preserve">Chương </w:t>
      </w:r>
      <w:bookmarkEnd w:id="18"/>
      <w:r w:rsidRPr="003D528A">
        <w:rPr>
          <w:b/>
          <w:bCs/>
          <w:sz w:val="28"/>
          <w:szCs w:val="28"/>
        </w:rPr>
        <w:t>III</w:t>
      </w:r>
    </w:p>
    <w:p w:rsidR="003D528A" w:rsidRPr="003D528A" w:rsidRDefault="003D528A" w:rsidP="00300792">
      <w:pPr>
        <w:pStyle w:val="NormalWeb"/>
        <w:spacing w:before="120" w:beforeAutospacing="0" w:after="120" w:afterAutospacing="0" w:line="340" w:lineRule="exact"/>
        <w:jc w:val="center"/>
        <w:divId w:val="2118258417"/>
        <w:rPr>
          <w:sz w:val="28"/>
          <w:szCs w:val="28"/>
        </w:rPr>
      </w:pPr>
      <w:bookmarkStart w:id="19" w:name="chuong_3_name"/>
      <w:r w:rsidRPr="003D528A">
        <w:rPr>
          <w:b/>
          <w:bCs/>
          <w:sz w:val="28"/>
          <w:szCs w:val="28"/>
          <w:lang w:val="vi-VN"/>
        </w:rPr>
        <w:t>TRÁCH NHIỆM CỦA CÁC ĐƠN VỊ THUỘC NGÂN HÀNG NHÀ NƯỚC VÀ XỬ LÝ VI PHẠM</w:t>
      </w:r>
      <w:bookmarkEnd w:id="19"/>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bookmarkStart w:id="20" w:name="dieu_11"/>
      <w:r w:rsidRPr="003D528A">
        <w:rPr>
          <w:b/>
          <w:bCs/>
          <w:sz w:val="28"/>
          <w:szCs w:val="28"/>
          <w:lang w:val="vi-VN"/>
        </w:rPr>
        <w:t>Điều 11. Cơ quan Thanh tra, giám sát ngân hàng có trách nhiệm:</w:t>
      </w:r>
      <w:bookmarkEnd w:id="20"/>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1. </w:t>
      </w:r>
      <w:r w:rsidRPr="003D528A">
        <w:rPr>
          <w:sz w:val="28"/>
          <w:szCs w:val="28"/>
          <w:lang w:val="vi-VN"/>
        </w:rPr>
        <w:t xml:space="preserve">Kiểm tra, thanh tra việc thực hiện phân loại nợ và cam kết ngoại bảng của Ngân hàng Phát triển Việt </w:t>
      </w:r>
      <w:smartTag w:uri="urn:schemas-microsoft-com:office:smarttags" w:element="country-region">
        <w:smartTag w:uri="urn:schemas-microsoft-com:office:smarttags" w:element="place">
          <w:r w:rsidRPr="003D528A">
            <w:rPr>
              <w:sz w:val="28"/>
              <w:szCs w:val="28"/>
              <w:lang w:val="vi-VN"/>
            </w:rPr>
            <w:t>Nam</w:t>
          </w:r>
        </w:smartTag>
      </w:smartTag>
      <w:r w:rsidRPr="003D528A">
        <w:rPr>
          <w:sz w:val="28"/>
          <w:szCs w:val="28"/>
          <w:lang w:val="vi-VN"/>
        </w:rPr>
        <w:t>.</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2. </w:t>
      </w:r>
      <w:r w:rsidRPr="003D528A">
        <w:rPr>
          <w:sz w:val="28"/>
          <w:szCs w:val="28"/>
          <w:lang w:val="vi-VN"/>
        </w:rPr>
        <w:t xml:space="preserve">Kiểm </w:t>
      </w:r>
      <w:r w:rsidRPr="003D528A">
        <w:rPr>
          <w:sz w:val="28"/>
          <w:szCs w:val="28"/>
        </w:rPr>
        <w:t>tr</w:t>
      </w:r>
      <w:r w:rsidRPr="003D528A">
        <w:rPr>
          <w:sz w:val="28"/>
          <w:szCs w:val="28"/>
          <w:lang w:val="vi-VN"/>
        </w:rPr>
        <w:t xml:space="preserve">a, thanh </w:t>
      </w:r>
      <w:r w:rsidRPr="003D528A">
        <w:rPr>
          <w:sz w:val="28"/>
          <w:szCs w:val="28"/>
        </w:rPr>
        <w:t>tr</w:t>
      </w:r>
      <w:r w:rsidRPr="003D528A">
        <w:rPr>
          <w:sz w:val="28"/>
          <w:szCs w:val="28"/>
          <w:lang w:val="vi-VN"/>
        </w:rPr>
        <w:t>a việc Ngân hàng Phát triển Việt Nam xây dựng, thực hiện các quy định nội bộ về cấp tín dụng, quản lý tiền vay.</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rPr>
        <w:t xml:space="preserve">3. </w:t>
      </w:r>
      <w:r w:rsidRPr="003D528A">
        <w:rPr>
          <w:sz w:val="28"/>
          <w:szCs w:val="28"/>
          <w:lang w:val="vi-VN"/>
        </w:rPr>
        <w:t xml:space="preserve">Xử lý vi phạm của Ngân hàng Phát triển Việt </w:t>
      </w:r>
      <w:smartTag w:uri="urn:schemas-microsoft-com:office:smarttags" w:element="country-region">
        <w:smartTag w:uri="urn:schemas-microsoft-com:office:smarttags" w:element="place">
          <w:r w:rsidRPr="003D528A">
            <w:rPr>
              <w:sz w:val="28"/>
              <w:szCs w:val="28"/>
              <w:lang w:val="vi-VN"/>
            </w:rPr>
            <w:t>Nam</w:t>
          </w:r>
        </w:smartTag>
      </w:smartTag>
      <w:r w:rsidRPr="003D528A">
        <w:rPr>
          <w:sz w:val="28"/>
          <w:szCs w:val="28"/>
          <w:lang w:val="vi-VN"/>
        </w:rPr>
        <w:t xml:space="preserve"> theo quy định tại Điều 13 Thông tư này.</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bookmarkStart w:id="21" w:name="dieu_12"/>
      <w:r w:rsidRPr="003D528A">
        <w:rPr>
          <w:b/>
          <w:bCs/>
          <w:sz w:val="28"/>
          <w:szCs w:val="28"/>
          <w:lang w:val="vi-VN"/>
        </w:rPr>
        <w:t>Điều 12. Vụ Dự báo, thống kê</w:t>
      </w:r>
      <w:bookmarkEnd w:id="21"/>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lang w:val="vi-VN"/>
        </w:rPr>
        <w:t>Vụ Dự báo, thống kê căn cứ quy định tại Thông tư này xây dựng, trình Thống đốc Ngân hàng Nhà nước ban hành quy định về báo cáo thống kê việc phân loại nợ và cam k</w:t>
      </w:r>
      <w:r w:rsidRPr="003D528A">
        <w:rPr>
          <w:sz w:val="28"/>
          <w:szCs w:val="28"/>
        </w:rPr>
        <w:t>ế</w:t>
      </w:r>
      <w:r w:rsidRPr="003D528A">
        <w:rPr>
          <w:sz w:val="28"/>
          <w:szCs w:val="28"/>
          <w:lang w:val="vi-VN"/>
        </w:rPr>
        <w:t>t ngoại bảng, trích lập và sử dụng dự phòng để xử lý rủi ro của Ngân hàng Phát triển Việt Nam.</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bookmarkStart w:id="22" w:name="dieu_13"/>
      <w:r w:rsidRPr="003D528A">
        <w:rPr>
          <w:b/>
          <w:bCs/>
          <w:sz w:val="28"/>
          <w:szCs w:val="28"/>
          <w:lang w:val="vi-VN"/>
        </w:rPr>
        <w:t>Điều 13. Xử lý vi phạm</w:t>
      </w:r>
      <w:bookmarkEnd w:id="22"/>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lang w:val="vi-VN"/>
        </w:rPr>
        <w:t>Ngân hàng Phát triển Việt Nam và cá nhân có liên quan vi phạm các quy định tại Thông tư này, ngoài việc phải thực hiện phân loại nợ và cam k</w:t>
      </w:r>
      <w:r w:rsidRPr="003D528A">
        <w:rPr>
          <w:sz w:val="28"/>
          <w:szCs w:val="28"/>
        </w:rPr>
        <w:t>ế</w:t>
      </w:r>
      <w:r w:rsidRPr="003D528A">
        <w:rPr>
          <w:sz w:val="28"/>
          <w:szCs w:val="28"/>
          <w:lang w:val="vi-VN"/>
        </w:rPr>
        <w:t>t ngoại bảng đối với nợ theo đúng quy định tại Thông tư này, theo tính chất và mức độ vi phạm sẽ bị xử lý theo quy định về xử phạt vi phạm hành chính trong lĩnh vực tiền tệ và hoạt động ngân hàng.</w:t>
      </w:r>
    </w:p>
    <w:p w:rsidR="003D528A" w:rsidRPr="003D528A" w:rsidRDefault="003D528A" w:rsidP="00300792">
      <w:pPr>
        <w:pStyle w:val="NormalWeb"/>
        <w:spacing w:before="120" w:beforeAutospacing="0" w:after="120" w:afterAutospacing="0" w:line="340" w:lineRule="exact"/>
        <w:jc w:val="center"/>
        <w:divId w:val="2118258417"/>
        <w:rPr>
          <w:sz w:val="28"/>
          <w:szCs w:val="28"/>
        </w:rPr>
      </w:pPr>
      <w:bookmarkStart w:id="23" w:name="chuong_4"/>
      <w:r w:rsidRPr="003D528A">
        <w:rPr>
          <w:b/>
          <w:bCs/>
          <w:sz w:val="28"/>
          <w:szCs w:val="28"/>
          <w:lang w:val="vi-VN"/>
        </w:rPr>
        <w:t xml:space="preserve">Chương </w:t>
      </w:r>
      <w:bookmarkEnd w:id="23"/>
      <w:r w:rsidRPr="003D528A">
        <w:rPr>
          <w:b/>
          <w:bCs/>
          <w:sz w:val="28"/>
          <w:szCs w:val="28"/>
        </w:rPr>
        <w:t>IV</w:t>
      </w:r>
    </w:p>
    <w:p w:rsidR="003D528A" w:rsidRPr="003D528A" w:rsidRDefault="003D528A" w:rsidP="00300792">
      <w:pPr>
        <w:pStyle w:val="NormalWeb"/>
        <w:spacing w:before="120" w:beforeAutospacing="0" w:after="120" w:afterAutospacing="0" w:line="340" w:lineRule="exact"/>
        <w:jc w:val="center"/>
        <w:divId w:val="2118258417"/>
        <w:rPr>
          <w:sz w:val="28"/>
          <w:szCs w:val="28"/>
        </w:rPr>
      </w:pPr>
      <w:bookmarkStart w:id="24" w:name="chuong_4_name"/>
      <w:r w:rsidRPr="003D528A">
        <w:rPr>
          <w:b/>
          <w:bCs/>
          <w:sz w:val="28"/>
          <w:szCs w:val="28"/>
        </w:rPr>
        <w:t>ĐIỀU KHOẢN THI HÀNH</w:t>
      </w:r>
      <w:bookmarkEnd w:id="24"/>
      <w:r w:rsidR="00B85942">
        <w:rPr>
          <w:rStyle w:val="FootnoteReference"/>
          <w:b/>
          <w:bCs/>
          <w:sz w:val="28"/>
          <w:szCs w:val="28"/>
        </w:rPr>
        <w:footnoteReference w:id="7"/>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bookmarkStart w:id="25" w:name="dieu_14"/>
      <w:r w:rsidRPr="003D528A">
        <w:rPr>
          <w:b/>
          <w:bCs/>
          <w:sz w:val="28"/>
          <w:szCs w:val="28"/>
          <w:lang w:val="vi-VN"/>
        </w:rPr>
        <w:lastRenderedPageBreak/>
        <w:t>Điều 14. Hiệu lực thi hành</w:t>
      </w:r>
      <w:bookmarkEnd w:id="25"/>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lang w:val="vi-VN"/>
        </w:rPr>
        <w:t>Thông tư này có hiệu lực thi hành kể từ ngày 15 tháng 01 năm 2014.</w:t>
      </w:r>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bookmarkStart w:id="26" w:name="dieu_15"/>
      <w:r w:rsidRPr="003D528A">
        <w:rPr>
          <w:b/>
          <w:bCs/>
          <w:sz w:val="28"/>
          <w:szCs w:val="28"/>
          <w:lang w:val="vi-VN"/>
        </w:rPr>
        <w:t xml:space="preserve">Điều 15. Tổ chức </w:t>
      </w:r>
      <w:r w:rsidRPr="003D528A">
        <w:rPr>
          <w:b/>
          <w:bCs/>
          <w:sz w:val="28"/>
          <w:szCs w:val="28"/>
        </w:rPr>
        <w:t>thực hiện</w:t>
      </w:r>
      <w:bookmarkEnd w:id="26"/>
    </w:p>
    <w:p w:rsidR="003D528A" w:rsidRPr="003D528A" w:rsidRDefault="003D528A" w:rsidP="00300792">
      <w:pPr>
        <w:pStyle w:val="NormalWeb"/>
        <w:spacing w:before="120" w:beforeAutospacing="0" w:after="120" w:afterAutospacing="0" w:line="340" w:lineRule="exact"/>
        <w:ind w:firstLine="562"/>
        <w:jc w:val="both"/>
        <w:divId w:val="2118258417"/>
        <w:rPr>
          <w:sz w:val="28"/>
          <w:szCs w:val="28"/>
        </w:rPr>
      </w:pPr>
      <w:r w:rsidRPr="003D528A">
        <w:rPr>
          <w:sz w:val="28"/>
          <w:szCs w:val="28"/>
          <w:lang w:val="vi-VN"/>
        </w:rPr>
        <w:t xml:space="preserve">Chánh Văn phòng, Chánh Thanh </w:t>
      </w:r>
      <w:r w:rsidRPr="003D528A">
        <w:rPr>
          <w:sz w:val="28"/>
          <w:szCs w:val="28"/>
        </w:rPr>
        <w:t>tr</w:t>
      </w:r>
      <w:r w:rsidRPr="003D528A">
        <w:rPr>
          <w:sz w:val="28"/>
          <w:szCs w:val="28"/>
          <w:lang w:val="vi-VN"/>
        </w:rPr>
        <w:t xml:space="preserve">a, giám sát ngân hàng, Thủ trưởng các đơn vị thuộc Ngân hàng Nhà nước, Giám đốc Ngân hàng Nhà nước chi nhánh tỉnh, thành phố trực thuộc Trung ương, Chủ tịch Hội đồng </w:t>
      </w:r>
      <w:r w:rsidR="00B85942">
        <w:rPr>
          <w:sz w:val="28"/>
          <w:szCs w:val="28"/>
        </w:rPr>
        <w:t>quản trị</w:t>
      </w:r>
      <w:r w:rsidR="00B85942">
        <w:rPr>
          <w:rStyle w:val="FootnoteReference"/>
          <w:sz w:val="28"/>
          <w:szCs w:val="28"/>
        </w:rPr>
        <w:footnoteReference w:id="8"/>
      </w:r>
      <w:r w:rsidRPr="003D528A">
        <w:rPr>
          <w:sz w:val="28"/>
          <w:szCs w:val="28"/>
          <w:lang w:val="vi-VN"/>
        </w:rPr>
        <w:t>, Tổng Giám đốc Ngân hàng Phát triển Việt Nam chịu trách nhiệm tổ chức thi hành Thông tư này./.</w:t>
      </w:r>
    </w:p>
    <w:p w:rsidR="003D528A" w:rsidRPr="003D528A" w:rsidRDefault="003D528A">
      <w:pPr>
        <w:pStyle w:val="NormalWeb"/>
        <w:spacing w:before="120" w:beforeAutospacing="0"/>
        <w:divId w:val="2118258417"/>
        <w:rPr>
          <w:sz w:val="28"/>
          <w:szCs w:val="28"/>
        </w:rPr>
      </w:pPr>
      <w:r w:rsidRPr="003D528A">
        <w:rPr>
          <w:sz w:val="28"/>
          <w:szCs w:val="28"/>
        </w:rPr>
        <w:t> </w:t>
      </w:r>
    </w:p>
    <w:p w:rsidR="00300792" w:rsidRDefault="00300792" w:rsidP="00CF6259">
      <w:pPr>
        <w:pStyle w:val="NormalWeb"/>
        <w:spacing w:before="120" w:beforeAutospacing="0"/>
        <w:divId w:val="2118258417"/>
        <w:rPr>
          <w:sz w:val="28"/>
          <w:szCs w:val="28"/>
        </w:rPr>
      </w:pPr>
    </w:p>
    <w:p w:rsidR="00300792" w:rsidRDefault="00300792" w:rsidP="00CF6259">
      <w:pPr>
        <w:pStyle w:val="NormalWeb"/>
        <w:spacing w:before="120" w:beforeAutospacing="0"/>
        <w:divId w:val="2118258417"/>
        <w:rPr>
          <w:sz w:val="28"/>
          <w:szCs w:val="28"/>
        </w:rPr>
      </w:pPr>
    </w:p>
    <w:p w:rsidR="00300792" w:rsidRDefault="00300792" w:rsidP="00CF6259">
      <w:pPr>
        <w:pStyle w:val="NormalWeb"/>
        <w:spacing w:before="120" w:beforeAutospacing="0"/>
        <w:divId w:val="2118258417"/>
        <w:rPr>
          <w:sz w:val="28"/>
          <w:szCs w:val="28"/>
        </w:rPr>
      </w:pPr>
    </w:p>
    <w:p w:rsidR="00300792" w:rsidRDefault="00300792" w:rsidP="00CF6259">
      <w:pPr>
        <w:pStyle w:val="NormalWeb"/>
        <w:spacing w:before="120" w:beforeAutospacing="0"/>
        <w:divId w:val="2118258417"/>
        <w:rPr>
          <w:sz w:val="28"/>
          <w:szCs w:val="28"/>
        </w:rPr>
      </w:pPr>
    </w:p>
    <w:p w:rsidR="00300792" w:rsidRDefault="00300792" w:rsidP="00CF6259">
      <w:pPr>
        <w:pStyle w:val="NormalWeb"/>
        <w:spacing w:before="120" w:beforeAutospacing="0"/>
        <w:divId w:val="2118258417"/>
        <w:rPr>
          <w:sz w:val="28"/>
          <w:szCs w:val="28"/>
        </w:rPr>
      </w:pPr>
    </w:p>
    <w:p w:rsidR="00300792" w:rsidRDefault="00300792" w:rsidP="00CF6259">
      <w:pPr>
        <w:pStyle w:val="NormalWeb"/>
        <w:spacing w:before="120" w:beforeAutospacing="0"/>
        <w:divId w:val="2118258417"/>
        <w:rPr>
          <w:sz w:val="28"/>
          <w:szCs w:val="28"/>
        </w:rPr>
      </w:pPr>
    </w:p>
    <w:p w:rsidR="00300792" w:rsidRDefault="00300792" w:rsidP="00CF6259">
      <w:pPr>
        <w:pStyle w:val="NormalWeb"/>
        <w:spacing w:before="120" w:beforeAutospacing="0"/>
        <w:divId w:val="2118258417"/>
        <w:rPr>
          <w:sz w:val="28"/>
          <w:szCs w:val="28"/>
        </w:rPr>
      </w:pPr>
    </w:p>
    <w:p w:rsidR="00300792" w:rsidRDefault="00300792" w:rsidP="00CF6259">
      <w:pPr>
        <w:pStyle w:val="NormalWeb"/>
        <w:spacing w:before="120" w:beforeAutospacing="0"/>
        <w:divId w:val="2118258417"/>
        <w:rPr>
          <w:sz w:val="28"/>
          <w:szCs w:val="28"/>
        </w:rPr>
      </w:pPr>
    </w:p>
    <w:p w:rsidR="00300792" w:rsidRDefault="00300792" w:rsidP="00CF6259">
      <w:pPr>
        <w:pStyle w:val="NormalWeb"/>
        <w:spacing w:before="120" w:beforeAutospacing="0"/>
        <w:divId w:val="2118258417"/>
        <w:rPr>
          <w:sz w:val="28"/>
          <w:szCs w:val="28"/>
        </w:rPr>
      </w:pPr>
    </w:p>
    <w:p w:rsidR="00300792" w:rsidRDefault="00300792" w:rsidP="00CF6259">
      <w:pPr>
        <w:pStyle w:val="NormalWeb"/>
        <w:spacing w:before="120" w:beforeAutospacing="0"/>
        <w:divId w:val="2118258417"/>
        <w:rPr>
          <w:sz w:val="28"/>
          <w:szCs w:val="28"/>
        </w:rPr>
      </w:pPr>
    </w:p>
    <w:p w:rsidR="00300792" w:rsidRDefault="00300792" w:rsidP="00CF6259">
      <w:pPr>
        <w:pStyle w:val="NormalWeb"/>
        <w:spacing w:before="120" w:beforeAutospacing="0"/>
        <w:divId w:val="2118258417"/>
        <w:rPr>
          <w:sz w:val="28"/>
          <w:szCs w:val="28"/>
        </w:rPr>
      </w:pPr>
    </w:p>
    <w:p w:rsidR="001A3757" w:rsidRDefault="001A3757" w:rsidP="00300792">
      <w:pPr>
        <w:pStyle w:val="NormalWeb"/>
        <w:spacing w:before="120" w:beforeAutospacing="0"/>
        <w:jc w:val="right"/>
        <w:divId w:val="2118258417"/>
        <w:rPr>
          <w:b/>
          <w:bCs/>
          <w:sz w:val="26"/>
          <w:szCs w:val="26"/>
        </w:rPr>
      </w:pPr>
    </w:p>
    <w:p w:rsidR="001A3757" w:rsidRDefault="001A3757" w:rsidP="00300792">
      <w:pPr>
        <w:pStyle w:val="NormalWeb"/>
        <w:spacing w:before="120" w:beforeAutospacing="0"/>
        <w:jc w:val="right"/>
        <w:divId w:val="2118258417"/>
        <w:rPr>
          <w:b/>
          <w:bCs/>
          <w:sz w:val="26"/>
          <w:szCs w:val="26"/>
          <w:lang w:val="vi-VN"/>
        </w:rPr>
        <w:sectPr w:rsidR="001A3757" w:rsidSect="00300792">
          <w:headerReference w:type="default" r:id="rId8"/>
          <w:headerReference w:type="first" r:id="rId9"/>
          <w:pgSz w:w="11907" w:h="16840" w:code="9"/>
          <w:pgMar w:top="1134" w:right="1134" w:bottom="1134" w:left="1701" w:header="510" w:footer="680" w:gutter="0"/>
          <w:cols w:space="720"/>
          <w:titlePg/>
          <w:docGrid w:linePitch="360"/>
        </w:sectPr>
      </w:pPr>
    </w:p>
    <w:p w:rsidR="00300792" w:rsidRPr="001A3757" w:rsidRDefault="00300792" w:rsidP="001A3757">
      <w:pPr>
        <w:pStyle w:val="NormalWeb"/>
        <w:spacing w:before="120" w:beforeAutospacing="0" w:after="0" w:afterAutospacing="0"/>
        <w:jc w:val="right"/>
        <w:divId w:val="2118258417"/>
        <w:rPr>
          <w:sz w:val="26"/>
          <w:szCs w:val="26"/>
        </w:rPr>
      </w:pPr>
      <w:r w:rsidRPr="001A3757">
        <w:rPr>
          <w:b/>
          <w:bCs/>
          <w:sz w:val="26"/>
          <w:szCs w:val="26"/>
          <w:lang w:val="vi-VN"/>
        </w:rPr>
        <w:lastRenderedPageBreak/>
        <w:t>Phụ lục</w:t>
      </w:r>
    </w:p>
    <w:tbl>
      <w:tblPr>
        <w:tblW w:w="10081" w:type="dxa"/>
        <w:tblInd w:w="-137" w:type="dxa"/>
        <w:tblCellMar>
          <w:left w:w="0" w:type="dxa"/>
          <w:right w:w="0" w:type="dxa"/>
        </w:tblCellMar>
        <w:tblLook w:val="0000"/>
      </w:tblPr>
      <w:tblGrid>
        <w:gridCol w:w="3859"/>
        <w:gridCol w:w="6222"/>
      </w:tblGrid>
      <w:tr w:rsidR="00300792" w:rsidRPr="003D528A" w:rsidTr="005E353A">
        <w:trPr>
          <w:divId w:val="2118258417"/>
          <w:trHeight w:val="1214"/>
        </w:trPr>
        <w:tc>
          <w:tcPr>
            <w:tcW w:w="3859" w:type="dxa"/>
          </w:tcPr>
          <w:p w:rsidR="00300792" w:rsidRPr="003D528A" w:rsidRDefault="00300792" w:rsidP="0093289B">
            <w:pPr>
              <w:pStyle w:val="NormalWeb"/>
              <w:spacing w:before="120" w:beforeAutospacing="0"/>
              <w:jc w:val="center"/>
              <w:rPr>
                <w:sz w:val="26"/>
                <w:szCs w:val="28"/>
              </w:rPr>
            </w:pPr>
            <w:r w:rsidRPr="003D528A">
              <w:rPr>
                <w:b/>
                <w:bCs/>
                <w:sz w:val="26"/>
                <w:szCs w:val="28"/>
              </w:rPr>
              <w:t>NGÂN HÀNG PHÁT TRIỂN</w:t>
            </w:r>
            <w:r w:rsidRPr="003D528A">
              <w:rPr>
                <w:b/>
                <w:bCs/>
                <w:sz w:val="26"/>
                <w:szCs w:val="28"/>
              </w:rPr>
              <w:br/>
              <w:t xml:space="preserve">VIỆT </w:t>
            </w:r>
            <w:smartTag w:uri="urn:schemas-microsoft-com:office:smarttags" w:element="place">
              <w:smartTag w:uri="urn:schemas-microsoft-com:office:smarttags" w:element="country-region">
                <w:r w:rsidRPr="003D528A">
                  <w:rPr>
                    <w:b/>
                    <w:bCs/>
                    <w:sz w:val="26"/>
                    <w:szCs w:val="28"/>
                  </w:rPr>
                  <w:t>NAM</w:t>
                </w:r>
              </w:smartTag>
            </w:smartTag>
            <w:r w:rsidRPr="003D528A">
              <w:rPr>
                <w:b/>
                <w:bCs/>
                <w:sz w:val="26"/>
                <w:szCs w:val="28"/>
                <w:lang w:val="vi-VN"/>
              </w:rPr>
              <w:br/>
              <w:t>--------</w:t>
            </w:r>
          </w:p>
        </w:tc>
        <w:tc>
          <w:tcPr>
            <w:tcW w:w="6222" w:type="dxa"/>
          </w:tcPr>
          <w:p w:rsidR="00300792" w:rsidRPr="003D528A" w:rsidRDefault="00300792" w:rsidP="00B90AC4">
            <w:pPr>
              <w:pStyle w:val="NormalWeb"/>
              <w:spacing w:before="120" w:beforeAutospacing="0" w:after="0" w:afterAutospacing="0"/>
              <w:jc w:val="center"/>
              <w:rPr>
                <w:sz w:val="26"/>
                <w:szCs w:val="28"/>
              </w:rPr>
            </w:pPr>
            <w:r w:rsidRPr="003D528A">
              <w:rPr>
                <w:b/>
                <w:bCs/>
                <w:sz w:val="26"/>
                <w:szCs w:val="28"/>
                <w:lang w:val="vi-VN"/>
              </w:rPr>
              <w:t>CỘNG HÒA XÃ HỘI CHỦ NGHĨA VIỆT NAM</w:t>
            </w:r>
            <w:r w:rsidRPr="003D528A">
              <w:rPr>
                <w:b/>
                <w:bCs/>
                <w:sz w:val="26"/>
                <w:szCs w:val="28"/>
                <w:lang w:val="vi-VN"/>
              </w:rPr>
              <w:br/>
              <w:t>Độc lập - Tự do - Hạnh phúc</w:t>
            </w:r>
            <w:r w:rsidRPr="003D528A">
              <w:rPr>
                <w:b/>
                <w:bCs/>
                <w:sz w:val="26"/>
                <w:szCs w:val="28"/>
                <w:lang w:val="vi-VN"/>
              </w:rPr>
              <w:br/>
              <w:t>----------------</w:t>
            </w:r>
          </w:p>
        </w:tc>
      </w:tr>
    </w:tbl>
    <w:p w:rsidR="00300792" w:rsidRPr="001A3757" w:rsidRDefault="005E353A" w:rsidP="005E353A">
      <w:pPr>
        <w:pStyle w:val="NormalWeb"/>
        <w:spacing w:before="0" w:beforeAutospacing="0" w:after="0" w:afterAutospacing="0"/>
        <w:divId w:val="2118258417"/>
        <w:rPr>
          <w:sz w:val="27"/>
          <w:szCs w:val="27"/>
        </w:rPr>
      </w:pPr>
      <w:bookmarkStart w:id="27" w:name="chuong_pl_name"/>
      <w:r>
        <w:rPr>
          <w:sz w:val="28"/>
          <w:szCs w:val="28"/>
        </w:rPr>
        <w:t xml:space="preserve">                                                        </w:t>
      </w:r>
      <w:r w:rsidR="00300792" w:rsidRPr="001A3757">
        <w:rPr>
          <w:b/>
          <w:bCs/>
          <w:sz w:val="27"/>
          <w:szCs w:val="27"/>
          <w:lang w:val="vi-VN"/>
        </w:rPr>
        <w:t>BÁO CÁO</w:t>
      </w:r>
      <w:bookmarkEnd w:id="27"/>
    </w:p>
    <w:p w:rsidR="00300792" w:rsidRPr="001A3757" w:rsidRDefault="00300792" w:rsidP="00300792">
      <w:pPr>
        <w:pStyle w:val="NormalWeb"/>
        <w:spacing w:before="0" w:beforeAutospacing="0" w:after="0" w:afterAutospacing="0"/>
        <w:jc w:val="center"/>
        <w:divId w:val="2118258417"/>
        <w:rPr>
          <w:sz w:val="27"/>
          <w:szCs w:val="27"/>
        </w:rPr>
      </w:pPr>
      <w:r w:rsidRPr="001A3757">
        <w:rPr>
          <w:b/>
          <w:bCs/>
          <w:sz w:val="27"/>
          <w:szCs w:val="27"/>
        </w:rPr>
        <w:t>P</w:t>
      </w:r>
      <w:r w:rsidRPr="001A3757">
        <w:rPr>
          <w:b/>
          <w:bCs/>
          <w:sz w:val="27"/>
          <w:szCs w:val="27"/>
          <w:lang w:val="vi-VN"/>
        </w:rPr>
        <w:t xml:space="preserve">hân loại tài sản có của </w:t>
      </w:r>
      <w:r w:rsidRPr="001A3757">
        <w:rPr>
          <w:b/>
          <w:bCs/>
          <w:sz w:val="27"/>
          <w:szCs w:val="27"/>
        </w:rPr>
        <w:t>N</w:t>
      </w:r>
      <w:r w:rsidRPr="001A3757">
        <w:rPr>
          <w:b/>
          <w:bCs/>
          <w:sz w:val="27"/>
          <w:szCs w:val="27"/>
          <w:lang w:val="vi-VN"/>
        </w:rPr>
        <w:t xml:space="preserve">gân hàng </w:t>
      </w:r>
      <w:r w:rsidRPr="001A3757">
        <w:rPr>
          <w:b/>
          <w:bCs/>
          <w:sz w:val="27"/>
          <w:szCs w:val="27"/>
        </w:rPr>
        <w:t>P</w:t>
      </w:r>
      <w:r w:rsidRPr="001A3757">
        <w:rPr>
          <w:b/>
          <w:bCs/>
          <w:sz w:val="27"/>
          <w:szCs w:val="27"/>
          <w:lang w:val="vi-VN"/>
        </w:rPr>
        <w:t>hát triển Việt Nam</w:t>
      </w:r>
    </w:p>
    <w:p w:rsidR="00300792" w:rsidRPr="001A3757" w:rsidRDefault="00300792" w:rsidP="00300792">
      <w:pPr>
        <w:pStyle w:val="NormalWeb"/>
        <w:spacing w:before="0" w:beforeAutospacing="0" w:after="0" w:afterAutospacing="0"/>
        <w:jc w:val="center"/>
        <w:divId w:val="2118258417"/>
        <w:rPr>
          <w:sz w:val="27"/>
          <w:szCs w:val="27"/>
        </w:rPr>
      </w:pPr>
      <w:r w:rsidRPr="001A3757">
        <w:rPr>
          <w:i/>
          <w:iCs/>
          <w:sz w:val="27"/>
          <w:szCs w:val="27"/>
          <w:lang w:val="vi-VN"/>
        </w:rPr>
        <w:t>Quý</w:t>
      </w:r>
      <w:r w:rsidRPr="001A3757">
        <w:rPr>
          <w:i/>
          <w:iCs/>
          <w:sz w:val="27"/>
          <w:szCs w:val="27"/>
        </w:rPr>
        <w:t xml:space="preserve"> …… </w:t>
      </w:r>
      <w:r w:rsidRPr="001A3757">
        <w:rPr>
          <w:i/>
          <w:iCs/>
          <w:sz w:val="27"/>
          <w:szCs w:val="27"/>
          <w:lang w:val="vi-VN"/>
        </w:rPr>
        <w:t>năm</w:t>
      </w:r>
      <w:r w:rsidRPr="001A3757">
        <w:rPr>
          <w:i/>
          <w:iCs/>
          <w:sz w:val="27"/>
          <w:szCs w:val="27"/>
        </w:rPr>
        <w:t xml:space="preserve"> ……</w:t>
      </w:r>
    </w:p>
    <w:p w:rsidR="00300792" w:rsidRPr="001A3757" w:rsidRDefault="00300792" w:rsidP="00B90AC4">
      <w:pPr>
        <w:pStyle w:val="NormalWeb"/>
        <w:spacing w:before="0" w:beforeAutospacing="0" w:after="0" w:afterAutospacing="0"/>
        <w:jc w:val="right"/>
        <w:divId w:val="2118258417"/>
        <w:rPr>
          <w:rFonts w:asciiTheme="majorHAnsi" w:hAnsiTheme="majorHAnsi" w:cstheme="majorHAnsi"/>
          <w:sz w:val="26"/>
          <w:szCs w:val="26"/>
        </w:rPr>
      </w:pPr>
      <w:r w:rsidRPr="001A3757">
        <w:rPr>
          <w:rFonts w:asciiTheme="majorHAnsi" w:hAnsiTheme="majorHAnsi" w:cstheme="majorHAnsi"/>
          <w:i/>
          <w:iCs/>
          <w:sz w:val="26"/>
          <w:szCs w:val="26"/>
          <w:lang w:val="vi-VN"/>
        </w:rPr>
        <w:t>Đơn vị tính: triệu đồng</w:t>
      </w:r>
    </w:p>
    <w:tbl>
      <w:tblPr>
        <w:tblW w:w="10065" w:type="dxa"/>
        <w:tblInd w:w="10" w:type="dxa"/>
        <w:tblCellMar>
          <w:left w:w="0" w:type="dxa"/>
          <w:right w:w="0" w:type="dxa"/>
        </w:tblCellMar>
        <w:tblLook w:val="0000"/>
      </w:tblPr>
      <w:tblGrid>
        <w:gridCol w:w="3087"/>
        <w:gridCol w:w="2173"/>
        <w:gridCol w:w="915"/>
        <w:gridCol w:w="2895"/>
        <w:gridCol w:w="995"/>
      </w:tblGrid>
      <w:tr w:rsidR="00300792" w:rsidRPr="001A3757" w:rsidTr="001A3757">
        <w:trPr>
          <w:gridAfter w:val="1"/>
          <w:divId w:val="2118258417"/>
          <w:wAfter w:w="995" w:type="dxa"/>
        </w:trPr>
        <w:tc>
          <w:tcPr>
            <w:tcW w:w="5260" w:type="dxa"/>
            <w:gridSpan w:val="2"/>
            <w:tcBorders>
              <w:top w:val="single" w:sz="8" w:space="0" w:color="auto"/>
              <w:left w:val="single" w:sz="8" w:space="0" w:color="auto"/>
              <w:bottom w:val="nil"/>
              <w:right w:val="nil"/>
            </w:tcBorders>
            <w:shd w:val="clear" w:color="auto" w:fill="FFFFFF"/>
          </w:tcPr>
          <w:p w:rsidR="00300792" w:rsidRPr="001A3757" w:rsidRDefault="00300792" w:rsidP="0093289B">
            <w:pPr>
              <w:pStyle w:val="NormalWeb"/>
              <w:spacing w:before="120" w:beforeAutospacing="0"/>
              <w:jc w:val="center"/>
              <w:rPr>
                <w:rFonts w:asciiTheme="majorHAnsi" w:hAnsiTheme="majorHAnsi" w:cstheme="majorHAnsi"/>
                <w:sz w:val="26"/>
                <w:szCs w:val="26"/>
              </w:rPr>
            </w:pPr>
            <w:r w:rsidRPr="001A3757">
              <w:rPr>
                <w:rFonts w:asciiTheme="majorHAnsi" w:hAnsiTheme="majorHAnsi" w:cstheme="majorHAnsi"/>
                <w:b/>
                <w:bCs/>
                <w:sz w:val="26"/>
                <w:szCs w:val="26"/>
                <w:lang w:val="vi-VN"/>
              </w:rPr>
              <w:t>Chỉ tiêu</w:t>
            </w:r>
          </w:p>
        </w:tc>
        <w:tc>
          <w:tcPr>
            <w:tcW w:w="3810" w:type="dxa"/>
            <w:gridSpan w:val="2"/>
            <w:tcBorders>
              <w:top w:val="single" w:sz="8" w:space="0" w:color="auto"/>
              <w:left w:val="single" w:sz="8" w:space="0" w:color="auto"/>
              <w:bottom w:val="nil"/>
              <w:right w:val="single" w:sz="8" w:space="0" w:color="auto"/>
            </w:tcBorders>
            <w:shd w:val="clear" w:color="auto" w:fill="FFFFFF"/>
          </w:tcPr>
          <w:p w:rsidR="00300792" w:rsidRPr="001A3757" w:rsidRDefault="00300792" w:rsidP="0093289B">
            <w:pPr>
              <w:pStyle w:val="NormalWeb"/>
              <w:spacing w:before="120" w:beforeAutospacing="0"/>
              <w:jc w:val="center"/>
              <w:rPr>
                <w:rFonts w:asciiTheme="majorHAnsi" w:hAnsiTheme="majorHAnsi" w:cstheme="majorHAnsi"/>
                <w:sz w:val="26"/>
                <w:szCs w:val="26"/>
              </w:rPr>
            </w:pPr>
            <w:r w:rsidRPr="001A3757">
              <w:rPr>
                <w:rFonts w:asciiTheme="majorHAnsi" w:hAnsiTheme="majorHAnsi" w:cstheme="majorHAnsi"/>
                <w:b/>
                <w:bCs/>
                <w:sz w:val="26"/>
                <w:szCs w:val="26"/>
                <w:lang w:val="vi-VN"/>
              </w:rPr>
              <w:t>Số dư</w:t>
            </w:r>
          </w:p>
        </w:tc>
      </w:tr>
      <w:tr w:rsidR="00300792" w:rsidRPr="001A3757" w:rsidTr="001A3757">
        <w:trPr>
          <w:gridAfter w:val="1"/>
          <w:divId w:val="2118258417"/>
          <w:wAfter w:w="995" w:type="dxa"/>
        </w:trPr>
        <w:tc>
          <w:tcPr>
            <w:tcW w:w="5260" w:type="dxa"/>
            <w:gridSpan w:val="2"/>
            <w:tcBorders>
              <w:top w:val="single" w:sz="8" w:space="0" w:color="auto"/>
              <w:left w:val="single" w:sz="8" w:space="0" w:color="auto"/>
              <w:bottom w:val="nil"/>
              <w:right w:val="nil"/>
            </w:tcBorders>
            <w:shd w:val="clear" w:color="auto" w:fill="FFFFFF"/>
          </w:tcPr>
          <w:p w:rsidR="00300792" w:rsidRPr="001A3757" w:rsidRDefault="00300792" w:rsidP="0093289B">
            <w:pPr>
              <w:pStyle w:val="NormalWeb"/>
              <w:spacing w:before="120" w:beforeAutospacing="0"/>
              <w:rPr>
                <w:rFonts w:asciiTheme="majorHAnsi" w:hAnsiTheme="majorHAnsi" w:cstheme="majorHAnsi"/>
                <w:sz w:val="26"/>
                <w:szCs w:val="26"/>
              </w:rPr>
            </w:pPr>
            <w:r w:rsidRPr="001A3757">
              <w:rPr>
                <w:rFonts w:asciiTheme="majorHAnsi" w:hAnsiTheme="majorHAnsi" w:cstheme="majorHAnsi"/>
                <w:b/>
                <w:bCs/>
                <w:sz w:val="26"/>
                <w:szCs w:val="26"/>
                <w:lang w:val="vi-VN"/>
              </w:rPr>
              <w:t>1. Phân lo</w:t>
            </w:r>
            <w:r w:rsidRPr="001A3757">
              <w:rPr>
                <w:rFonts w:asciiTheme="majorHAnsi" w:hAnsiTheme="majorHAnsi" w:cstheme="majorHAnsi"/>
                <w:b/>
                <w:bCs/>
                <w:sz w:val="26"/>
                <w:szCs w:val="26"/>
              </w:rPr>
              <w:t>ạ</w:t>
            </w:r>
            <w:r w:rsidRPr="001A3757">
              <w:rPr>
                <w:rFonts w:asciiTheme="majorHAnsi" w:hAnsiTheme="majorHAnsi" w:cstheme="majorHAnsi"/>
                <w:b/>
                <w:bCs/>
                <w:sz w:val="26"/>
                <w:szCs w:val="26"/>
                <w:lang w:val="vi-VN"/>
              </w:rPr>
              <w:t>i n</w:t>
            </w:r>
            <w:r w:rsidRPr="001A3757">
              <w:rPr>
                <w:rFonts w:asciiTheme="majorHAnsi" w:hAnsiTheme="majorHAnsi" w:cstheme="majorHAnsi"/>
                <w:b/>
                <w:bCs/>
                <w:sz w:val="26"/>
                <w:szCs w:val="26"/>
              </w:rPr>
              <w:t>ợ</w:t>
            </w:r>
          </w:p>
        </w:tc>
        <w:tc>
          <w:tcPr>
            <w:tcW w:w="3810" w:type="dxa"/>
            <w:gridSpan w:val="2"/>
            <w:tcBorders>
              <w:top w:val="single" w:sz="8" w:space="0" w:color="auto"/>
              <w:left w:val="single" w:sz="8" w:space="0" w:color="auto"/>
              <w:bottom w:val="nil"/>
              <w:right w:val="single" w:sz="8" w:space="0" w:color="auto"/>
            </w:tcBorders>
            <w:shd w:val="clear" w:color="auto" w:fill="FFFFFF"/>
          </w:tcPr>
          <w:p w:rsidR="00300792" w:rsidRPr="001A3757" w:rsidRDefault="00300792" w:rsidP="0093289B">
            <w:pPr>
              <w:pStyle w:val="NormalWeb"/>
              <w:spacing w:before="120" w:beforeAutospacing="0"/>
              <w:rPr>
                <w:rFonts w:asciiTheme="majorHAnsi" w:hAnsiTheme="majorHAnsi" w:cstheme="majorHAnsi"/>
                <w:sz w:val="26"/>
                <w:szCs w:val="26"/>
              </w:rPr>
            </w:pPr>
            <w:r w:rsidRPr="001A3757">
              <w:rPr>
                <w:rFonts w:asciiTheme="majorHAnsi" w:hAnsiTheme="majorHAnsi" w:cstheme="majorHAnsi"/>
                <w:sz w:val="26"/>
                <w:szCs w:val="26"/>
                <w:lang w:val="vi-VN"/>
              </w:rPr>
              <w:t> </w:t>
            </w:r>
          </w:p>
        </w:tc>
      </w:tr>
      <w:tr w:rsidR="00300792" w:rsidRPr="001A3757" w:rsidTr="001A3757">
        <w:trPr>
          <w:gridAfter w:val="1"/>
          <w:divId w:val="2118258417"/>
          <w:wAfter w:w="995" w:type="dxa"/>
        </w:trPr>
        <w:tc>
          <w:tcPr>
            <w:tcW w:w="5260" w:type="dxa"/>
            <w:gridSpan w:val="2"/>
            <w:tcBorders>
              <w:top w:val="single" w:sz="8" w:space="0" w:color="auto"/>
              <w:left w:val="single" w:sz="8" w:space="0" w:color="auto"/>
              <w:bottom w:val="nil"/>
              <w:right w:val="nil"/>
            </w:tcBorders>
            <w:shd w:val="clear" w:color="auto" w:fill="FFFFFF"/>
          </w:tcPr>
          <w:p w:rsidR="00300792" w:rsidRPr="001A3757" w:rsidRDefault="00300792" w:rsidP="0093289B">
            <w:pPr>
              <w:pStyle w:val="NormalWeb"/>
              <w:spacing w:before="120" w:beforeAutospacing="0"/>
              <w:rPr>
                <w:rFonts w:asciiTheme="majorHAnsi" w:hAnsiTheme="majorHAnsi" w:cstheme="majorHAnsi"/>
                <w:sz w:val="26"/>
                <w:szCs w:val="26"/>
              </w:rPr>
            </w:pPr>
            <w:r w:rsidRPr="001A3757">
              <w:rPr>
                <w:rFonts w:asciiTheme="majorHAnsi" w:hAnsiTheme="majorHAnsi" w:cstheme="majorHAnsi"/>
                <w:sz w:val="26"/>
                <w:szCs w:val="26"/>
                <w:lang w:val="vi-VN"/>
              </w:rPr>
              <w:t>Nhóm 1</w:t>
            </w:r>
          </w:p>
        </w:tc>
        <w:tc>
          <w:tcPr>
            <w:tcW w:w="3810" w:type="dxa"/>
            <w:gridSpan w:val="2"/>
            <w:tcBorders>
              <w:top w:val="single" w:sz="8" w:space="0" w:color="auto"/>
              <w:left w:val="single" w:sz="8" w:space="0" w:color="auto"/>
              <w:bottom w:val="nil"/>
              <w:right w:val="single" w:sz="8" w:space="0" w:color="auto"/>
            </w:tcBorders>
            <w:shd w:val="clear" w:color="auto" w:fill="FFFFFF"/>
          </w:tcPr>
          <w:p w:rsidR="00300792" w:rsidRPr="001A3757" w:rsidRDefault="00300792" w:rsidP="0093289B">
            <w:pPr>
              <w:pStyle w:val="NormalWeb"/>
              <w:spacing w:before="120" w:beforeAutospacing="0"/>
              <w:rPr>
                <w:rFonts w:asciiTheme="majorHAnsi" w:hAnsiTheme="majorHAnsi" w:cstheme="majorHAnsi"/>
                <w:sz w:val="26"/>
                <w:szCs w:val="26"/>
              </w:rPr>
            </w:pPr>
            <w:r w:rsidRPr="001A3757">
              <w:rPr>
                <w:rFonts w:asciiTheme="majorHAnsi" w:hAnsiTheme="majorHAnsi" w:cstheme="majorHAnsi"/>
                <w:sz w:val="26"/>
                <w:szCs w:val="26"/>
                <w:lang w:val="vi-VN"/>
              </w:rPr>
              <w:t> </w:t>
            </w:r>
          </w:p>
        </w:tc>
      </w:tr>
      <w:tr w:rsidR="00300792" w:rsidRPr="001A3757" w:rsidTr="001A3757">
        <w:trPr>
          <w:gridAfter w:val="1"/>
          <w:divId w:val="2118258417"/>
          <w:wAfter w:w="995" w:type="dxa"/>
        </w:trPr>
        <w:tc>
          <w:tcPr>
            <w:tcW w:w="5260" w:type="dxa"/>
            <w:gridSpan w:val="2"/>
            <w:tcBorders>
              <w:top w:val="single" w:sz="8" w:space="0" w:color="auto"/>
              <w:left w:val="single" w:sz="8" w:space="0" w:color="auto"/>
              <w:bottom w:val="nil"/>
              <w:right w:val="nil"/>
            </w:tcBorders>
            <w:shd w:val="clear" w:color="auto" w:fill="FFFFFF"/>
          </w:tcPr>
          <w:p w:rsidR="00300792" w:rsidRPr="001A3757" w:rsidRDefault="00300792" w:rsidP="0093289B">
            <w:pPr>
              <w:pStyle w:val="NormalWeb"/>
              <w:spacing w:before="120" w:beforeAutospacing="0"/>
              <w:rPr>
                <w:rFonts w:asciiTheme="majorHAnsi" w:hAnsiTheme="majorHAnsi" w:cstheme="majorHAnsi"/>
                <w:sz w:val="26"/>
                <w:szCs w:val="26"/>
              </w:rPr>
            </w:pPr>
            <w:r w:rsidRPr="001A3757">
              <w:rPr>
                <w:rFonts w:asciiTheme="majorHAnsi" w:hAnsiTheme="majorHAnsi" w:cstheme="majorHAnsi"/>
                <w:sz w:val="26"/>
                <w:szCs w:val="26"/>
                <w:lang w:val="vi-VN"/>
              </w:rPr>
              <w:t>Nhóm 2</w:t>
            </w:r>
          </w:p>
        </w:tc>
        <w:tc>
          <w:tcPr>
            <w:tcW w:w="3810" w:type="dxa"/>
            <w:gridSpan w:val="2"/>
            <w:tcBorders>
              <w:top w:val="single" w:sz="8" w:space="0" w:color="auto"/>
              <w:left w:val="single" w:sz="8" w:space="0" w:color="auto"/>
              <w:bottom w:val="nil"/>
              <w:right w:val="single" w:sz="8" w:space="0" w:color="auto"/>
            </w:tcBorders>
            <w:shd w:val="clear" w:color="auto" w:fill="FFFFFF"/>
          </w:tcPr>
          <w:p w:rsidR="00300792" w:rsidRPr="001A3757" w:rsidRDefault="00300792" w:rsidP="0093289B">
            <w:pPr>
              <w:pStyle w:val="NormalWeb"/>
              <w:spacing w:before="120" w:beforeAutospacing="0"/>
              <w:rPr>
                <w:rFonts w:asciiTheme="majorHAnsi" w:hAnsiTheme="majorHAnsi" w:cstheme="majorHAnsi"/>
                <w:sz w:val="26"/>
                <w:szCs w:val="26"/>
              </w:rPr>
            </w:pPr>
            <w:r w:rsidRPr="001A3757">
              <w:rPr>
                <w:rFonts w:asciiTheme="majorHAnsi" w:hAnsiTheme="majorHAnsi" w:cstheme="majorHAnsi"/>
                <w:sz w:val="26"/>
                <w:szCs w:val="26"/>
                <w:lang w:val="vi-VN"/>
              </w:rPr>
              <w:t> </w:t>
            </w:r>
          </w:p>
        </w:tc>
      </w:tr>
      <w:tr w:rsidR="00300792" w:rsidRPr="001A3757" w:rsidTr="001A3757">
        <w:trPr>
          <w:gridAfter w:val="1"/>
          <w:divId w:val="2118258417"/>
          <w:wAfter w:w="995" w:type="dxa"/>
        </w:trPr>
        <w:tc>
          <w:tcPr>
            <w:tcW w:w="5260" w:type="dxa"/>
            <w:gridSpan w:val="2"/>
            <w:tcBorders>
              <w:top w:val="single" w:sz="8" w:space="0" w:color="auto"/>
              <w:left w:val="single" w:sz="8" w:space="0" w:color="auto"/>
              <w:bottom w:val="nil"/>
              <w:right w:val="nil"/>
            </w:tcBorders>
            <w:shd w:val="clear" w:color="auto" w:fill="FFFFFF"/>
          </w:tcPr>
          <w:p w:rsidR="00300792" w:rsidRPr="001A3757" w:rsidRDefault="00300792" w:rsidP="0093289B">
            <w:pPr>
              <w:pStyle w:val="NormalWeb"/>
              <w:spacing w:before="120" w:beforeAutospacing="0"/>
              <w:rPr>
                <w:rFonts w:asciiTheme="majorHAnsi" w:hAnsiTheme="majorHAnsi" w:cstheme="majorHAnsi"/>
                <w:sz w:val="26"/>
                <w:szCs w:val="26"/>
              </w:rPr>
            </w:pPr>
            <w:r w:rsidRPr="001A3757">
              <w:rPr>
                <w:rFonts w:asciiTheme="majorHAnsi" w:hAnsiTheme="majorHAnsi" w:cstheme="majorHAnsi"/>
                <w:sz w:val="26"/>
                <w:szCs w:val="26"/>
                <w:lang w:val="vi-VN"/>
              </w:rPr>
              <w:t>Nhóm 3</w:t>
            </w:r>
          </w:p>
        </w:tc>
        <w:tc>
          <w:tcPr>
            <w:tcW w:w="3810" w:type="dxa"/>
            <w:gridSpan w:val="2"/>
            <w:tcBorders>
              <w:top w:val="single" w:sz="8" w:space="0" w:color="auto"/>
              <w:left w:val="single" w:sz="8" w:space="0" w:color="auto"/>
              <w:bottom w:val="nil"/>
              <w:right w:val="single" w:sz="8" w:space="0" w:color="auto"/>
            </w:tcBorders>
            <w:shd w:val="clear" w:color="auto" w:fill="FFFFFF"/>
          </w:tcPr>
          <w:p w:rsidR="00300792" w:rsidRPr="001A3757" w:rsidRDefault="00300792" w:rsidP="0093289B">
            <w:pPr>
              <w:pStyle w:val="NormalWeb"/>
              <w:spacing w:before="120" w:beforeAutospacing="0"/>
              <w:rPr>
                <w:rFonts w:asciiTheme="majorHAnsi" w:hAnsiTheme="majorHAnsi" w:cstheme="majorHAnsi"/>
                <w:sz w:val="26"/>
                <w:szCs w:val="26"/>
              </w:rPr>
            </w:pPr>
            <w:r w:rsidRPr="001A3757">
              <w:rPr>
                <w:rFonts w:asciiTheme="majorHAnsi" w:hAnsiTheme="majorHAnsi" w:cstheme="majorHAnsi"/>
                <w:sz w:val="26"/>
                <w:szCs w:val="26"/>
                <w:lang w:val="vi-VN"/>
              </w:rPr>
              <w:t> </w:t>
            </w:r>
          </w:p>
        </w:tc>
      </w:tr>
      <w:tr w:rsidR="00300792" w:rsidRPr="001A3757" w:rsidTr="001A3757">
        <w:trPr>
          <w:gridAfter w:val="1"/>
          <w:divId w:val="2118258417"/>
          <w:wAfter w:w="995" w:type="dxa"/>
        </w:trPr>
        <w:tc>
          <w:tcPr>
            <w:tcW w:w="5260" w:type="dxa"/>
            <w:gridSpan w:val="2"/>
            <w:tcBorders>
              <w:top w:val="single" w:sz="8" w:space="0" w:color="auto"/>
              <w:left w:val="single" w:sz="8" w:space="0" w:color="auto"/>
              <w:bottom w:val="nil"/>
              <w:right w:val="nil"/>
            </w:tcBorders>
            <w:shd w:val="clear" w:color="auto" w:fill="FFFFFF"/>
          </w:tcPr>
          <w:p w:rsidR="00300792" w:rsidRPr="001A3757" w:rsidRDefault="00300792" w:rsidP="0093289B">
            <w:pPr>
              <w:pStyle w:val="NormalWeb"/>
              <w:spacing w:before="120" w:beforeAutospacing="0"/>
              <w:rPr>
                <w:rFonts w:asciiTheme="majorHAnsi" w:hAnsiTheme="majorHAnsi" w:cstheme="majorHAnsi"/>
                <w:sz w:val="26"/>
                <w:szCs w:val="26"/>
              </w:rPr>
            </w:pPr>
            <w:r w:rsidRPr="001A3757">
              <w:rPr>
                <w:rFonts w:asciiTheme="majorHAnsi" w:hAnsiTheme="majorHAnsi" w:cstheme="majorHAnsi"/>
                <w:sz w:val="26"/>
                <w:szCs w:val="26"/>
                <w:lang w:val="vi-VN"/>
              </w:rPr>
              <w:t>Nhóm 4</w:t>
            </w:r>
          </w:p>
        </w:tc>
        <w:tc>
          <w:tcPr>
            <w:tcW w:w="3810" w:type="dxa"/>
            <w:gridSpan w:val="2"/>
            <w:tcBorders>
              <w:top w:val="single" w:sz="8" w:space="0" w:color="auto"/>
              <w:left w:val="single" w:sz="8" w:space="0" w:color="auto"/>
              <w:bottom w:val="nil"/>
              <w:right w:val="single" w:sz="8" w:space="0" w:color="auto"/>
            </w:tcBorders>
            <w:shd w:val="clear" w:color="auto" w:fill="FFFFFF"/>
          </w:tcPr>
          <w:p w:rsidR="00300792" w:rsidRPr="001A3757" w:rsidRDefault="00300792" w:rsidP="0093289B">
            <w:pPr>
              <w:pStyle w:val="NormalWeb"/>
              <w:spacing w:before="120" w:beforeAutospacing="0"/>
              <w:rPr>
                <w:rFonts w:asciiTheme="majorHAnsi" w:hAnsiTheme="majorHAnsi" w:cstheme="majorHAnsi"/>
                <w:sz w:val="26"/>
                <w:szCs w:val="26"/>
              </w:rPr>
            </w:pPr>
            <w:r w:rsidRPr="001A3757">
              <w:rPr>
                <w:rFonts w:asciiTheme="majorHAnsi" w:hAnsiTheme="majorHAnsi" w:cstheme="majorHAnsi"/>
                <w:sz w:val="26"/>
                <w:szCs w:val="26"/>
                <w:lang w:val="vi-VN"/>
              </w:rPr>
              <w:t> </w:t>
            </w:r>
          </w:p>
        </w:tc>
      </w:tr>
      <w:tr w:rsidR="00300792" w:rsidRPr="001A3757" w:rsidTr="001A3757">
        <w:trPr>
          <w:gridAfter w:val="1"/>
          <w:divId w:val="2118258417"/>
          <w:wAfter w:w="995" w:type="dxa"/>
        </w:trPr>
        <w:tc>
          <w:tcPr>
            <w:tcW w:w="5260" w:type="dxa"/>
            <w:gridSpan w:val="2"/>
            <w:tcBorders>
              <w:top w:val="single" w:sz="8" w:space="0" w:color="auto"/>
              <w:left w:val="single" w:sz="8" w:space="0" w:color="auto"/>
              <w:bottom w:val="nil"/>
              <w:right w:val="nil"/>
            </w:tcBorders>
            <w:shd w:val="clear" w:color="auto" w:fill="FFFFFF"/>
          </w:tcPr>
          <w:p w:rsidR="00300792" w:rsidRPr="001A3757" w:rsidRDefault="00300792" w:rsidP="0093289B">
            <w:pPr>
              <w:pStyle w:val="NormalWeb"/>
              <w:spacing w:before="120" w:beforeAutospacing="0"/>
              <w:rPr>
                <w:rFonts w:asciiTheme="majorHAnsi" w:hAnsiTheme="majorHAnsi" w:cstheme="majorHAnsi"/>
                <w:sz w:val="26"/>
                <w:szCs w:val="26"/>
              </w:rPr>
            </w:pPr>
            <w:r w:rsidRPr="001A3757">
              <w:rPr>
                <w:rFonts w:asciiTheme="majorHAnsi" w:hAnsiTheme="majorHAnsi" w:cstheme="majorHAnsi"/>
                <w:sz w:val="26"/>
                <w:szCs w:val="26"/>
                <w:lang w:val="vi-VN"/>
              </w:rPr>
              <w:t>Nhóm 5</w:t>
            </w:r>
          </w:p>
        </w:tc>
        <w:tc>
          <w:tcPr>
            <w:tcW w:w="3810" w:type="dxa"/>
            <w:gridSpan w:val="2"/>
            <w:tcBorders>
              <w:top w:val="single" w:sz="8" w:space="0" w:color="auto"/>
              <w:left w:val="single" w:sz="8" w:space="0" w:color="auto"/>
              <w:bottom w:val="nil"/>
              <w:right w:val="single" w:sz="8" w:space="0" w:color="auto"/>
            </w:tcBorders>
            <w:shd w:val="clear" w:color="auto" w:fill="FFFFFF"/>
          </w:tcPr>
          <w:p w:rsidR="00300792" w:rsidRPr="001A3757" w:rsidRDefault="00300792" w:rsidP="0093289B">
            <w:pPr>
              <w:pStyle w:val="NormalWeb"/>
              <w:spacing w:before="120" w:beforeAutospacing="0"/>
              <w:rPr>
                <w:rFonts w:asciiTheme="majorHAnsi" w:hAnsiTheme="majorHAnsi" w:cstheme="majorHAnsi"/>
                <w:sz w:val="26"/>
                <w:szCs w:val="26"/>
              </w:rPr>
            </w:pPr>
            <w:r w:rsidRPr="001A3757">
              <w:rPr>
                <w:rFonts w:asciiTheme="majorHAnsi" w:hAnsiTheme="majorHAnsi" w:cstheme="majorHAnsi"/>
                <w:sz w:val="26"/>
                <w:szCs w:val="26"/>
                <w:lang w:val="vi-VN"/>
              </w:rPr>
              <w:t> </w:t>
            </w:r>
          </w:p>
        </w:tc>
      </w:tr>
      <w:tr w:rsidR="00300792" w:rsidRPr="001A3757" w:rsidTr="001A3757">
        <w:trPr>
          <w:gridAfter w:val="1"/>
          <w:divId w:val="2118258417"/>
          <w:wAfter w:w="995" w:type="dxa"/>
        </w:trPr>
        <w:tc>
          <w:tcPr>
            <w:tcW w:w="5260" w:type="dxa"/>
            <w:gridSpan w:val="2"/>
            <w:tcBorders>
              <w:top w:val="single" w:sz="8" w:space="0" w:color="auto"/>
              <w:left w:val="single" w:sz="8" w:space="0" w:color="auto"/>
              <w:bottom w:val="nil"/>
              <w:right w:val="nil"/>
            </w:tcBorders>
            <w:shd w:val="clear" w:color="auto" w:fill="FFFFFF"/>
          </w:tcPr>
          <w:p w:rsidR="00300792" w:rsidRPr="001A3757" w:rsidRDefault="00300792" w:rsidP="0093289B">
            <w:pPr>
              <w:pStyle w:val="NormalWeb"/>
              <w:spacing w:before="120" w:beforeAutospacing="0"/>
              <w:rPr>
                <w:rFonts w:asciiTheme="majorHAnsi" w:hAnsiTheme="majorHAnsi" w:cstheme="majorHAnsi"/>
                <w:sz w:val="26"/>
                <w:szCs w:val="26"/>
              </w:rPr>
            </w:pPr>
            <w:r w:rsidRPr="001A3757">
              <w:rPr>
                <w:rFonts w:asciiTheme="majorHAnsi" w:hAnsiTheme="majorHAnsi" w:cstheme="majorHAnsi"/>
                <w:b/>
                <w:bCs/>
                <w:sz w:val="26"/>
                <w:szCs w:val="26"/>
                <w:lang w:val="vi-VN"/>
              </w:rPr>
              <w:t>Tổng dư nợ</w:t>
            </w:r>
          </w:p>
        </w:tc>
        <w:tc>
          <w:tcPr>
            <w:tcW w:w="3810" w:type="dxa"/>
            <w:gridSpan w:val="2"/>
            <w:tcBorders>
              <w:top w:val="single" w:sz="8" w:space="0" w:color="auto"/>
              <w:left w:val="single" w:sz="8" w:space="0" w:color="auto"/>
              <w:bottom w:val="nil"/>
              <w:right w:val="single" w:sz="8" w:space="0" w:color="auto"/>
            </w:tcBorders>
            <w:shd w:val="clear" w:color="auto" w:fill="FFFFFF"/>
          </w:tcPr>
          <w:p w:rsidR="00300792" w:rsidRPr="001A3757" w:rsidRDefault="00300792" w:rsidP="0093289B">
            <w:pPr>
              <w:pStyle w:val="NormalWeb"/>
              <w:spacing w:before="120" w:beforeAutospacing="0"/>
              <w:rPr>
                <w:rFonts w:asciiTheme="majorHAnsi" w:hAnsiTheme="majorHAnsi" w:cstheme="majorHAnsi"/>
                <w:sz w:val="26"/>
                <w:szCs w:val="26"/>
              </w:rPr>
            </w:pPr>
            <w:r w:rsidRPr="001A3757">
              <w:rPr>
                <w:rFonts w:asciiTheme="majorHAnsi" w:hAnsiTheme="majorHAnsi" w:cstheme="majorHAnsi"/>
                <w:sz w:val="26"/>
                <w:szCs w:val="26"/>
                <w:lang w:val="vi-VN"/>
              </w:rPr>
              <w:t> </w:t>
            </w:r>
          </w:p>
        </w:tc>
      </w:tr>
      <w:tr w:rsidR="00300792" w:rsidRPr="001A3757" w:rsidTr="001A3757">
        <w:trPr>
          <w:gridAfter w:val="1"/>
          <w:divId w:val="2118258417"/>
          <w:wAfter w:w="995" w:type="dxa"/>
        </w:trPr>
        <w:tc>
          <w:tcPr>
            <w:tcW w:w="5260" w:type="dxa"/>
            <w:gridSpan w:val="2"/>
            <w:tcBorders>
              <w:top w:val="single" w:sz="8" w:space="0" w:color="auto"/>
              <w:left w:val="single" w:sz="8" w:space="0" w:color="auto"/>
              <w:bottom w:val="nil"/>
              <w:right w:val="nil"/>
            </w:tcBorders>
            <w:shd w:val="clear" w:color="auto" w:fill="FFFFFF"/>
          </w:tcPr>
          <w:p w:rsidR="00300792" w:rsidRPr="001A3757" w:rsidRDefault="00300792" w:rsidP="0093289B">
            <w:pPr>
              <w:pStyle w:val="NormalWeb"/>
              <w:spacing w:before="120" w:beforeAutospacing="0"/>
              <w:rPr>
                <w:rFonts w:asciiTheme="majorHAnsi" w:hAnsiTheme="majorHAnsi" w:cstheme="majorHAnsi"/>
                <w:sz w:val="26"/>
                <w:szCs w:val="26"/>
              </w:rPr>
            </w:pPr>
            <w:r w:rsidRPr="001A3757">
              <w:rPr>
                <w:rFonts w:asciiTheme="majorHAnsi" w:hAnsiTheme="majorHAnsi" w:cstheme="majorHAnsi"/>
                <w:b/>
                <w:bCs/>
                <w:sz w:val="26"/>
                <w:szCs w:val="26"/>
                <w:lang w:val="vi-VN"/>
              </w:rPr>
              <w:t>2. Phân loại cam kết ngo</w:t>
            </w:r>
            <w:r w:rsidRPr="001A3757">
              <w:rPr>
                <w:rFonts w:asciiTheme="majorHAnsi" w:hAnsiTheme="majorHAnsi" w:cstheme="majorHAnsi"/>
                <w:b/>
                <w:bCs/>
                <w:sz w:val="26"/>
                <w:szCs w:val="26"/>
              </w:rPr>
              <w:t>ạ</w:t>
            </w:r>
            <w:r w:rsidRPr="001A3757">
              <w:rPr>
                <w:rFonts w:asciiTheme="majorHAnsi" w:hAnsiTheme="majorHAnsi" w:cstheme="majorHAnsi"/>
                <w:b/>
                <w:bCs/>
                <w:sz w:val="26"/>
                <w:szCs w:val="26"/>
                <w:lang w:val="vi-VN"/>
              </w:rPr>
              <w:t>i bảng</w:t>
            </w:r>
          </w:p>
        </w:tc>
        <w:tc>
          <w:tcPr>
            <w:tcW w:w="3810" w:type="dxa"/>
            <w:gridSpan w:val="2"/>
            <w:tcBorders>
              <w:top w:val="single" w:sz="8" w:space="0" w:color="auto"/>
              <w:left w:val="single" w:sz="8" w:space="0" w:color="auto"/>
              <w:bottom w:val="nil"/>
              <w:right w:val="single" w:sz="8" w:space="0" w:color="auto"/>
            </w:tcBorders>
            <w:shd w:val="clear" w:color="auto" w:fill="FFFFFF"/>
          </w:tcPr>
          <w:p w:rsidR="00300792" w:rsidRPr="001A3757" w:rsidRDefault="00300792" w:rsidP="0093289B">
            <w:pPr>
              <w:pStyle w:val="NormalWeb"/>
              <w:spacing w:before="120" w:beforeAutospacing="0"/>
              <w:rPr>
                <w:rFonts w:asciiTheme="majorHAnsi" w:hAnsiTheme="majorHAnsi" w:cstheme="majorHAnsi"/>
                <w:sz w:val="26"/>
                <w:szCs w:val="26"/>
              </w:rPr>
            </w:pPr>
            <w:r w:rsidRPr="001A3757">
              <w:rPr>
                <w:rFonts w:asciiTheme="majorHAnsi" w:hAnsiTheme="majorHAnsi" w:cstheme="majorHAnsi"/>
                <w:sz w:val="26"/>
                <w:szCs w:val="26"/>
                <w:lang w:val="vi-VN"/>
              </w:rPr>
              <w:t> </w:t>
            </w:r>
          </w:p>
        </w:tc>
      </w:tr>
      <w:tr w:rsidR="00300792" w:rsidRPr="001A3757" w:rsidTr="001A3757">
        <w:trPr>
          <w:gridAfter w:val="1"/>
          <w:divId w:val="2118258417"/>
          <w:wAfter w:w="995" w:type="dxa"/>
        </w:trPr>
        <w:tc>
          <w:tcPr>
            <w:tcW w:w="5260" w:type="dxa"/>
            <w:gridSpan w:val="2"/>
            <w:tcBorders>
              <w:top w:val="single" w:sz="8" w:space="0" w:color="auto"/>
              <w:left w:val="single" w:sz="8" w:space="0" w:color="auto"/>
              <w:bottom w:val="nil"/>
              <w:right w:val="nil"/>
            </w:tcBorders>
            <w:shd w:val="clear" w:color="auto" w:fill="FFFFFF"/>
          </w:tcPr>
          <w:p w:rsidR="00300792" w:rsidRPr="001A3757" w:rsidRDefault="00300792" w:rsidP="0093289B">
            <w:pPr>
              <w:pStyle w:val="NormalWeb"/>
              <w:spacing w:before="120" w:beforeAutospacing="0"/>
              <w:rPr>
                <w:rFonts w:asciiTheme="majorHAnsi" w:hAnsiTheme="majorHAnsi" w:cstheme="majorHAnsi"/>
                <w:sz w:val="26"/>
                <w:szCs w:val="26"/>
              </w:rPr>
            </w:pPr>
            <w:r w:rsidRPr="001A3757">
              <w:rPr>
                <w:rFonts w:asciiTheme="majorHAnsi" w:hAnsiTheme="majorHAnsi" w:cstheme="majorHAnsi"/>
                <w:sz w:val="26"/>
                <w:szCs w:val="26"/>
                <w:lang w:val="vi-VN"/>
              </w:rPr>
              <w:t>Nhóm 1</w:t>
            </w:r>
          </w:p>
        </w:tc>
        <w:tc>
          <w:tcPr>
            <w:tcW w:w="3810" w:type="dxa"/>
            <w:gridSpan w:val="2"/>
            <w:tcBorders>
              <w:top w:val="single" w:sz="8" w:space="0" w:color="auto"/>
              <w:left w:val="single" w:sz="8" w:space="0" w:color="auto"/>
              <w:bottom w:val="nil"/>
              <w:right w:val="single" w:sz="8" w:space="0" w:color="auto"/>
            </w:tcBorders>
            <w:shd w:val="clear" w:color="auto" w:fill="FFFFFF"/>
          </w:tcPr>
          <w:p w:rsidR="00300792" w:rsidRPr="001A3757" w:rsidRDefault="00300792" w:rsidP="0093289B">
            <w:pPr>
              <w:pStyle w:val="NormalWeb"/>
              <w:spacing w:before="120" w:beforeAutospacing="0"/>
              <w:rPr>
                <w:rFonts w:asciiTheme="majorHAnsi" w:hAnsiTheme="majorHAnsi" w:cstheme="majorHAnsi"/>
                <w:sz w:val="26"/>
                <w:szCs w:val="26"/>
              </w:rPr>
            </w:pPr>
            <w:r w:rsidRPr="001A3757">
              <w:rPr>
                <w:rFonts w:asciiTheme="majorHAnsi" w:hAnsiTheme="majorHAnsi" w:cstheme="majorHAnsi"/>
                <w:sz w:val="26"/>
                <w:szCs w:val="26"/>
                <w:lang w:val="vi-VN"/>
              </w:rPr>
              <w:t> </w:t>
            </w:r>
          </w:p>
        </w:tc>
      </w:tr>
      <w:tr w:rsidR="00300792" w:rsidRPr="001A3757" w:rsidTr="001A3757">
        <w:trPr>
          <w:gridAfter w:val="1"/>
          <w:divId w:val="2118258417"/>
          <w:wAfter w:w="995" w:type="dxa"/>
        </w:trPr>
        <w:tc>
          <w:tcPr>
            <w:tcW w:w="5260" w:type="dxa"/>
            <w:gridSpan w:val="2"/>
            <w:tcBorders>
              <w:top w:val="single" w:sz="8" w:space="0" w:color="auto"/>
              <w:left w:val="single" w:sz="8" w:space="0" w:color="auto"/>
              <w:bottom w:val="nil"/>
              <w:right w:val="nil"/>
            </w:tcBorders>
            <w:shd w:val="clear" w:color="auto" w:fill="FFFFFF"/>
          </w:tcPr>
          <w:p w:rsidR="00300792" w:rsidRPr="001A3757" w:rsidRDefault="00300792" w:rsidP="0093289B">
            <w:pPr>
              <w:pStyle w:val="NormalWeb"/>
              <w:spacing w:before="120" w:beforeAutospacing="0"/>
              <w:rPr>
                <w:rFonts w:asciiTheme="majorHAnsi" w:hAnsiTheme="majorHAnsi" w:cstheme="majorHAnsi"/>
                <w:sz w:val="26"/>
                <w:szCs w:val="26"/>
              </w:rPr>
            </w:pPr>
            <w:r w:rsidRPr="001A3757">
              <w:rPr>
                <w:rFonts w:asciiTheme="majorHAnsi" w:hAnsiTheme="majorHAnsi" w:cstheme="majorHAnsi"/>
                <w:sz w:val="26"/>
                <w:szCs w:val="26"/>
                <w:lang w:val="vi-VN"/>
              </w:rPr>
              <w:t>Nhóm 2</w:t>
            </w:r>
          </w:p>
        </w:tc>
        <w:tc>
          <w:tcPr>
            <w:tcW w:w="3810" w:type="dxa"/>
            <w:gridSpan w:val="2"/>
            <w:tcBorders>
              <w:top w:val="single" w:sz="8" w:space="0" w:color="auto"/>
              <w:left w:val="single" w:sz="8" w:space="0" w:color="auto"/>
              <w:bottom w:val="nil"/>
              <w:right w:val="single" w:sz="8" w:space="0" w:color="auto"/>
            </w:tcBorders>
            <w:shd w:val="clear" w:color="auto" w:fill="FFFFFF"/>
          </w:tcPr>
          <w:p w:rsidR="00300792" w:rsidRPr="001A3757" w:rsidRDefault="00300792" w:rsidP="0093289B">
            <w:pPr>
              <w:pStyle w:val="NormalWeb"/>
              <w:spacing w:before="120" w:beforeAutospacing="0"/>
              <w:rPr>
                <w:rFonts w:asciiTheme="majorHAnsi" w:hAnsiTheme="majorHAnsi" w:cstheme="majorHAnsi"/>
                <w:sz w:val="26"/>
                <w:szCs w:val="26"/>
              </w:rPr>
            </w:pPr>
            <w:r w:rsidRPr="001A3757">
              <w:rPr>
                <w:rFonts w:asciiTheme="majorHAnsi" w:hAnsiTheme="majorHAnsi" w:cstheme="majorHAnsi"/>
                <w:sz w:val="26"/>
                <w:szCs w:val="26"/>
                <w:lang w:val="vi-VN"/>
              </w:rPr>
              <w:t> </w:t>
            </w:r>
          </w:p>
        </w:tc>
      </w:tr>
      <w:tr w:rsidR="00300792" w:rsidRPr="001A3757" w:rsidTr="001A3757">
        <w:trPr>
          <w:gridAfter w:val="1"/>
          <w:divId w:val="2118258417"/>
          <w:wAfter w:w="995" w:type="dxa"/>
        </w:trPr>
        <w:tc>
          <w:tcPr>
            <w:tcW w:w="5260" w:type="dxa"/>
            <w:gridSpan w:val="2"/>
            <w:tcBorders>
              <w:top w:val="single" w:sz="8" w:space="0" w:color="auto"/>
              <w:left w:val="single" w:sz="8" w:space="0" w:color="auto"/>
              <w:bottom w:val="nil"/>
              <w:right w:val="nil"/>
            </w:tcBorders>
            <w:shd w:val="clear" w:color="auto" w:fill="FFFFFF"/>
          </w:tcPr>
          <w:p w:rsidR="00300792" w:rsidRPr="001A3757" w:rsidRDefault="00300792" w:rsidP="0093289B">
            <w:pPr>
              <w:pStyle w:val="NormalWeb"/>
              <w:spacing w:before="120" w:beforeAutospacing="0"/>
              <w:rPr>
                <w:rFonts w:asciiTheme="majorHAnsi" w:hAnsiTheme="majorHAnsi" w:cstheme="majorHAnsi"/>
                <w:sz w:val="26"/>
                <w:szCs w:val="26"/>
              </w:rPr>
            </w:pPr>
            <w:r w:rsidRPr="001A3757">
              <w:rPr>
                <w:rFonts w:asciiTheme="majorHAnsi" w:hAnsiTheme="majorHAnsi" w:cstheme="majorHAnsi"/>
                <w:sz w:val="26"/>
                <w:szCs w:val="26"/>
                <w:lang w:val="vi-VN"/>
              </w:rPr>
              <w:t>Nhóm 3</w:t>
            </w:r>
          </w:p>
        </w:tc>
        <w:tc>
          <w:tcPr>
            <w:tcW w:w="3810" w:type="dxa"/>
            <w:gridSpan w:val="2"/>
            <w:tcBorders>
              <w:top w:val="single" w:sz="8" w:space="0" w:color="auto"/>
              <w:left w:val="single" w:sz="8" w:space="0" w:color="auto"/>
              <w:bottom w:val="nil"/>
              <w:right w:val="single" w:sz="8" w:space="0" w:color="auto"/>
            </w:tcBorders>
            <w:shd w:val="clear" w:color="auto" w:fill="FFFFFF"/>
          </w:tcPr>
          <w:p w:rsidR="00300792" w:rsidRPr="001A3757" w:rsidRDefault="00300792" w:rsidP="0093289B">
            <w:pPr>
              <w:pStyle w:val="NormalWeb"/>
              <w:spacing w:before="120" w:beforeAutospacing="0"/>
              <w:rPr>
                <w:rFonts w:asciiTheme="majorHAnsi" w:hAnsiTheme="majorHAnsi" w:cstheme="majorHAnsi"/>
                <w:sz w:val="26"/>
                <w:szCs w:val="26"/>
              </w:rPr>
            </w:pPr>
            <w:r w:rsidRPr="001A3757">
              <w:rPr>
                <w:rFonts w:asciiTheme="majorHAnsi" w:hAnsiTheme="majorHAnsi" w:cstheme="majorHAnsi"/>
                <w:sz w:val="26"/>
                <w:szCs w:val="26"/>
                <w:lang w:val="vi-VN"/>
              </w:rPr>
              <w:t> </w:t>
            </w:r>
          </w:p>
        </w:tc>
      </w:tr>
      <w:tr w:rsidR="00300792" w:rsidRPr="001A3757" w:rsidTr="001A3757">
        <w:trPr>
          <w:gridAfter w:val="1"/>
          <w:divId w:val="2118258417"/>
          <w:wAfter w:w="995" w:type="dxa"/>
        </w:trPr>
        <w:tc>
          <w:tcPr>
            <w:tcW w:w="5260" w:type="dxa"/>
            <w:gridSpan w:val="2"/>
            <w:tcBorders>
              <w:top w:val="single" w:sz="8" w:space="0" w:color="auto"/>
              <w:left w:val="single" w:sz="8" w:space="0" w:color="auto"/>
              <w:bottom w:val="nil"/>
              <w:right w:val="nil"/>
            </w:tcBorders>
            <w:shd w:val="clear" w:color="auto" w:fill="FFFFFF"/>
          </w:tcPr>
          <w:p w:rsidR="00300792" w:rsidRPr="001A3757" w:rsidRDefault="00300792" w:rsidP="0093289B">
            <w:pPr>
              <w:pStyle w:val="NormalWeb"/>
              <w:spacing w:before="120" w:beforeAutospacing="0"/>
              <w:rPr>
                <w:rFonts w:asciiTheme="majorHAnsi" w:hAnsiTheme="majorHAnsi" w:cstheme="majorHAnsi"/>
                <w:sz w:val="26"/>
                <w:szCs w:val="26"/>
              </w:rPr>
            </w:pPr>
            <w:r w:rsidRPr="001A3757">
              <w:rPr>
                <w:rFonts w:asciiTheme="majorHAnsi" w:hAnsiTheme="majorHAnsi" w:cstheme="majorHAnsi"/>
                <w:sz w:val="26"/>
                <w:szCs w:val="26"/>
                <w:lang w:val="vi-VN"/>
              </w:rPr>
              <w:t>Nhóm 4</w:t>
            </w:r>
          </w:p>
        </w:tc>
        <w:tc>
          <w:tcPr>
            <w:tcW w:w="3810" w:type="dxa"/>
            <w:gridSpan w:val="2"/>
            <w:tcBorders>
              <w:top w:val="single" w:sz="8" w:space="0" w:color="auto"/>
              <w:left w:val="single" w:sz="8" w:space="0" w:color="auto"/>
              <w:bottom w:val="nil"/>
              <w:right w:val="single" w:sz="8" w:space="0" w:color="auto"/>
            </w:tcBorders>
            <w:shd w:val="clear" w:color="auto" w:fill="FFFFFF"/>
          </w:tcPr>
          <w:p w:rsidR="00300792" w:rsidRPr="001A3757" w:rsidRDefault="00300792" w:rsidP="0093289B">
            <w:pPr>
              <w:pStyle w:val="NormalWeb"/>
              <w:spacing w:before="120" w:beforeAutospacing="0"/>
              <w:rPr>
                <w:rFonts w:asciiTheme="majorHAnsi" w:hAnsiTheme="majorHAnsi" w:cstheme="majorHAnsi"/>
                <w:sz w:val="26"/>
                <w:szCs w:val="26"/>
              </w:rPr>
            </w:pPr>
            <w:r w:rsidRPr="001A3757">
              <w:rPr>
                <w:rFonts w:asciiTheme="majorHAnsi" w:hAnsiTheme="majorHAnsi" w:cstheme="majorHAnsi"/>
                <w:sz w:val="26"/>
                <w:szCs w:val="26"/>
                <w:lang w:val="vi-VN"/>
              </w:rPr>
              <w:t> </w:t>
            </w:r>
          </w:p>
        </w:tc>
      </w:tr>
      <w:tr w:rsidR="00300792" w:rsidRPr="001A3757" w:rsidTr="001A3757">
        <w:trPr>
          <w:gridAfter w:val="1"/>
          <w:divId w:val="2118258417"/>
          <w:wAfter w:w="995" w:type="dxa"/>
        </w:trPr>
        <w:tc>
          <w:tcPr>
            <w:tcW w:w="5260" w:type="dxa"/>
            <w:gridSpan w:val="2"/>
            <w:tcBorders>
              <w:top w:val="single" w:sz="8" w:space="0" w:color="auto"/>
              <w:left w:val="single" w:sz="8" w:space="0" w:color="auto"/>
              <w:bottom w:val="nil"/>
              <w:right w:val="nil"/>
            </w:tcBorders>
            <w:shd w:val="clear" w:color="auto" w:fill="FFFFFF"/>
          </w:tcPr>
          <w:p w:rsidR="00300792" w:rsidRPr="001A3757" w:rsidRDefault="00300792" w:rsidP="0093289B">
            <w:pPr>
              <w:pStyle w:val="NormalWeb"/>
              <w:spacing w:before="120" w:beforeAutospacing="0"/>
              <w:rPr>
                <w:rFonts w:asciiTheme="majorHAnsi" w:hAnsiTheme="majorHAnsi" w:cstheme="majorHAnsi"/>
                <w:sz w:val="26"/>
                <w:szCs w:val="26"/>
              </w:rPr>
            </w:pPr>
            <w:r w:rsidRPr="001A3757">
              <w:rPr>
                <w:rFonts w:asciiTheme="majorHAnsi" w:hAnsiTheme="majorHAnsi" w:cstheme="majorHAnsi"/>
                <w:sz w:val="26"/>
                <w:szCs w:val="26"/>
                <w:lang w:val="vi-VN"/>
              </w:rPr>
              <w:t>Nhóm 5</w:t>
            </w:r>
          </w:p>
        </w:tc>
        <w:tc>
          <w:tcPr>
            <w:tcW w:w="3810" w:type="dxa"/>
            <w:gridSpan w:val="2"/>
            <w:tcBorders>
              <w:top w:val="single" w:sz="8" w:space="0" w:color="auto"/>
              <w:left w:val="single" w:sz="8" w:space="0" w:color="auto"/>
              <w:bottom w:val="nil"/>
              <w:right w:val="single" w:sz="8" w:space="0" w:color="auto"/>
            </w:tcBorders>
            <w:shd w:val="clear" w:color="auto" w:fill="FFFFFF"/>
          </w:tcPr>
          <w:p w:rsidR="00300792" w:rsidRPr="001A3757" w:rsidRDefault="00300792" w:rsidP="0093289B">
            <w:pPr>
              <w:pStyle w:val="NormalWeb"/>
              <w:spacing w:before="120" w:beforeAutospacing="0"/>
              <w:rPr>
                <w:rFonts w:asciiTheme="majorHAnsi" w:hAnsiTheme="majorHAnsi" w:cstheme="majorHAnsi"/>
                <w:sz w:val="26"/>
                <w:szCs w:val="26"/>
              </w:rPr>
            </w:pPr>
            <w:r w:rsidRPr="001A3757">
              <w:rPr>
                <w:rFonts w:asciiTheme="majorHAnsi" w:hAnsiTheme="majorHAnsi" w:cstheme="majorHAnsi"/>
                <w:sz w:val="26"/>
                <w:szCs w:val="26"/>
                <w:lang w:val="vi-VN"/>
              </w:rPr>
              <w:t> </w:t>
            </w:r>
          </w:p>
        </w:tc>
      </w:tr>
      <w:tr w:rsidR="00300792" w:rsidRPr="001A3757" w:rsidTr="001A3757">
        <w:trPr>
          <w:gridAfter w:val="1"/>
          <w:divId w:val="2118258417"/>
          <w:wAfter w:w="995" w:type="dxa"/>
        </w:trPr>
        <w:tc>
          <w:tcPr>
            <w:tcW w:w="5260" w:type="dxa"/>
            <w:gridSpan w:val="2"/>
            <w:tcBorders>
              <w:top w:val="single" w:sz="8" w:space="0" w:color="auto"/>
              <w:left w:val="single" w:sz="8" w:space="0" w:color="auto"/>
              <w:bottom w:val="nil"/>
              <w:right w:val="nil"/>
            </w:tcBorders>
            <w:shd w:val="clear" w:color="auto" w:fill="FFFFFF"/>
          </w:tcPr>
          <w:p w:rsidR="00300792" w:rsidRPr="001A3757" w:rsidRDefault="00300792" w:rsidP="0093289B">
            <w:pPr>
              <w:pStyle w:val="NormalWeb"/>
              <w:spacing w:before="120" w:beforeAutospacing="0"/>
              <w:rPr>
                <w:rFonts w:asciiTheme="majorHAnsi" w:hAnsiTheme="majorHAnsi" w:cstheme="majorHAnsi"/>
                <w:sz w:val="26"/>
                <w:szCs w:val="26"/>
              </w:rPr>
            </w:pPr>
            <w:r w:rsidRPr="001A3757">
              <w:rPr>
                <w:rFonts w:asciiTheme="majorHAnsi" w:hAnsiTheme="majorHAnsi" w:cstheme="majorHAnsi"/>
                <w:b/>
                <w:bCs/>
                <w:sz w:val="26"/>
                <w:szCs w:val="26"/>
                <w:lang w:val="vi-VN"/>
              </w:rPr>
              <w:t>Tổng cam kết ngo</w:t>
            </w:r>
            <w:r w:rsidRPr="001A3757">
              <w:rPr>
                <w:rFonts w:asciiTheme="majorHAnsi" w:hAnsiTheme="majorHAnsi" w:cstheme="majorHAnsi"/>
                <w:b/>
                <w:bCs/>
                <w:sz w:val="26"/>
                <w:szCs w:val="26"/>
              </w:rPr>
              <w:t>ạ</w:t>
            </w:r>
            <w:r w:rsidRPr="001A3757">
              <w:rPr>
                <w:rFonts w:asciiTheme="majorHAnsi" w:hAnsiTheme="majorHAnsi" w:cstheme="majorHAnsi"/>
                <w:b/>
                <w:bCs/>
                <w:sz w:val="26"/>
                <w:szCs w:val="26"/>
                <w:lang w:val="vi-VN"/>
              </w:rPr>
              <w:t>i bảng</w:t>
            </w:r>
          </w:p>
        </w:tc>
        <w:tc>
          <w:tcPr>
            <w:tcW w:w="3810" w:type="dxa"/>
            <w:gridSpan w:val="2"/>
            <w:tcBorders>
              <w:top w:val="single" w:sz="8" w:space="0" w:color="auto"/>
              <w:left w:val="single" w:sz="8" w:space="0" w:color="auto"/>
              <w:bottom w:val="nil"/>
              <w:right w:val="single" w:sz="8" w:space="0" w:color="auto"/>
            </w:tcBorders>
            <w:shd w:val="clear" w:color="auto" w:fill="FFFFFF"/>
          </w:tcPr>
          <w:p w:rsidR="00300792" w:rsidRPr="001A3757" w:rsidRDefault="00300792" w:rsidP="0093289B">
            <w:pPr>
              <w:pStyle w:val="NormalWeb"/>
              <w:spacing w:before="120" w:beforeAutospacing="0"/>
              <w:rPr>
                <w:rFonts w:asciiTheme="majorHAnsi" w:hAnsiTheme="majorHAnsi" w:cstheme="majorHAnsi"/>
                <w:sz w:val="26"/>
                <w:szCs w:val="26"/>
              </w:rPr>
            </w:pPr>
            <w:r w:rsidRPr="001A3757">
              <w:rPr>
                <w:rFonts w:asciiTheme="majorHAnsi" w:hAnsiTheme="majorHAnsi" w:cstheme="majorHAnsi"/>
                <w:sz w:val="26"/>
                <w:szCs w:val="26"/>
                <w:lang w:val="vi-VN"/>
              </w:rPr>
              <w:t> </w:t>
            </w:r>
          </w:p>
        </w:tc>
      </w:tr>
      <w:tr w:rsidR="00300792" w:rsidRPr="001A3757" w:rsidTr="001A3757">
        <w:trPr>
          <w:gridAfter w:val="1"/>
          <w:divId w:val="2118258417"/>
          <w:wAfter w:w="995" w:type="dxa"/>
        </w:trPr>
        <w:tc>
          <w:tcPr>
            <w:tcW w:w="5260" w:type="dxa"/>
            <w:gridSpan w:val="2"/>
            <w:tcBorders>
              <w:top w:val="single" w:sz="8" w:space="0" w:color="auto"/>
              <w:left w:val="single" w:sz="8" w:space="0" w:color="auto"/>
              <w:bottom w:val="nil"/>
              <w:right w:val="nil"/>
            </w:tcBorders>
            <w:shd w:val="clear" w:color="auto" w:fill="FFFFFF"/>
          </w:tcPr>
          <w:p w:rsidR="00300792" w:rsidRPr="001A3757" w:rsidRDefault="00300792" w:rsidP="0093289B">
            <w:pPr>
              <w:pStyle w:val="NormalWeb"/>
              <w:spacing w:before="120" w:beforeAutospacing="0"/>
              <w:rPr>
                <w:rFonts w:asciiTheme="majorHAnsi" w:hAnsiTheme="majorHAnsi" w:cstheme="majorHAnsi"/>
                <w:sz w:val="26"/>
                <w:szCs w:val="26"/>
              </w:rPr>
            </w:pPr>
            <w:r w:rsidRPr="001A3757">
              <w:rPr>
                <w:rFonts w:asciiTheme="majorHAnsi" w:hAnsiTheme="majorHAnsi" w:cstheme="majorHAnsi"/>
                <w:sz w:val="26"/>
                <w:szCs w:val="26"/>
                <w:lang w:val="vi-VN"/>
              </w:rPr>
              <w:t>Tỷ lệ nợ xấu/Tổng dư n</w:t>
            </w:r>
            <w:r w:rsidRPr="001A3757">
              <w:rPr>
                <w:rFonts w:asciiTheme="majorHAnsi" w:hAnsiTheme="majorHAnsi" w:cstheme="majorHAnsi"/>
                <w:sz w:val="26"/>
                <w:szCs w:val="26"/>
              </w:rPr>
              <w:t>ợ</w:t>
            </w:r>
          </w:p>
        </w:tc>
        <w:tc>
          <w:tcPr>
            <w:tcW w:w="3810" w:type="dxa"/>
            <w:gridSpan w:val="2"/>
            <w:tcBorders>
              <w:top w:val="single" w:sz="8" w:space="0" w:color="auto"/>
              <w:left w:val="single" w:sz="8" w:space="0" w:color="auto"/>
              <w:bottom w:val="nil"/>
              <w:right w:val="single" w:sz="8" w:space="0" w:color="auto"/>
            </w:tcBorders>
            <w:shd w:val="clear" w:color="auto" w:fill="FFFFFF"/>
          </w:tcPr>
          <w:p w:rsidR="00300792" w:rsidRPr="001A3757" w:rsidRDefault="00300792" w:rsidP="0093289B">
            <w:pPr>
              <w:pStyle w:val="NormalWeb"/>
              <w:spacing w:before="120" w:beforeAutospacing="0"/>
              <w:rPr>
                <w:rFonts w:asciiTheme="majorHAnsi" w:hAnsiTheme="majorHAnsi" w:cstheme="majorHAnsi"/>
                <w:sz w:val="26"/>
                <w:szCs w:val="26"/>
              </w:rPr>
            </w:pPr>
            <w:r w:rsidRPr="001A3757">
              <w:rPr>
                <w:rFonts w:asciiTheme="majorHAnsi" w:hAnsiTheme="majorHAnsi" w:cstheme="majorHAnsi"/>
                <w:sz w:val="26"/>
                <w:szCs w:val="26"/>
                <w:lang w:val="vi-VN"/>
              </w:rPr>
              <w:t> </w:t>
            </w:r>
          </w:p>
        </w:tc>
      </w:tr>
      <w:tr w:rsidR="00300792" w:rsidRPr="001A3757" w:rsidTr="001A3757">
        <w:trPr>
          <w:gridAfter w:val="1"/>
          <w:divId w:val="2118258417"/>
          <w:wAfter w:w="995" w:type="dxa"/>
        </w:trPr>
        <w:tc>
          <w:tcPr>
            <w:tcW w:w="5260" w:type="dxa"/>
            <w:gridSpan w:val="2"/>
            <w:tcBorders>
              <w:top w:val="single" w:sz="8" w:space="0" w:color="auto"/>
              <w:left w:val="single" w:sz="8" w:space="0" w:color="auto"/>
              <w:bottom w:val="single" w:sz="8" w:space="0" w:color="auto"/>
              <w:right w:val="nil"/>
            </w:tcBorders>
            <w:shd w:val="clear" w:color="auto" w:fill="FFFFFF"/>
          </w:tcPr>
          <w:p w:rsidR="00300792" w:rsidRPr="001A3757" w:rsidRDefault="00300792" w:rsidP="0093289B">
            <w:pPr>
              <w:pStyle w:val="NormalWeb"/>
              <w:spacing w:before="120" w:beforeAutospacing="0"/>
              <w:rPr>
                <w:rFonts w:asciiTheme="majorHAnsi" w:hAnsiTheme="majorHAnsi" w:cstheme="majorHAnsi"/>
                <w:sz w:val="26"/>
                <w:szCs w:val="26"/>
              </w:rPr>
            </w:pPr>
            <w:r w:rsidRPr="001A3757">
              <w:rPr>
                <w:rFonts w:asciiTheme="majorHAnsi" w:hAnsiTheme="majorHAnsi" w:cstheme="majorHAnsi"/>
                <w:sz w:val="26"/>
                <w:szCs w:val="26"/>
                <w:lang w:val="vi-VN"/>
              </w:rPr>
              <w:t>Tỷ lệ c</w:t>
            </w:r>
            <w:r w:rsidRPr="001A3757">
              <w:rPr>
                <w:rFonts w:asciiTheme="majorHAnsi" w:hAnsiTheme="majorHAnsi" w:cstheme="majorHAnsi"/>
                <w:sz w:val="26"/>
                <w:szCs w:val="26"/>
              </w:rPr>
              <w:t>ấ</w:t>
            </w:r>
            <w:r w:rsidRPr="001A3757">
              <w:rPr>
                <w:rFonts w:asciiTheme="majorHAnsi" w:hAnsiTheme="majorHAnsi" w:cstheme="majorHAnsi"/>
                <w:sz w:val="26"/>
                <w:szCs w:val="26"/>
                <w:lang w:val="vi-VN"/>
              </w:rPr>
              <w:t xml:space="preserve">p tín dụng </w:t>
            </w:r>
            <w:r w:rsidRPr="001A3757">
              <w:rPr>
                <w:rFonts w:asciiTheme="majorHAnsi" w:hAnsiTheme="majorHAnsi" w:cstheme="majorHAnsi"/>
                <w:sz w:val="26"/>
                <w:szCs w:val="26"/>
              </w:rPr>
              <w:t>x</w:t>
            </w:r>
            <w:r w:rsidRPr="001A3757">
              <w:rPr>
                <w:rFonts w:asciiTheme="majorHAnsi" w:hAnsiTheme="majorHAnsi" w:cstheme="majorHAnsi"/>
                <w:sz w:val="26"/>
                <w:szCs w:val="26"/>
                <w:lang w:val="vi-VN"/>
              </w:rPr>
              <w:t>ấu/Tổng tài sản có</w:t>
            </w:r>
          </w:p>
        </w:tc>
        <w:tc>
          <w:tcPr>
            <w:tcW w:w="3810" w:type="dxa"/>
            <w:gridSpan w:val="2"/>
            <w:tcBorders>
              <w:top w:val="single" w:sz="8" w:space="0" w:color="auto"/>
              <w:left w:val="single" w:sz="8" w:space="0" w:color="auto"/>
              <w:bottom w:val="single" w:sz="8" w:space="0" w:color="auto"/>
              <w:right w:val="single" w:sz="8" w:space="0" w:color="auto"/>
            </w:tcBorders>
            <w:shd w:val="clear" w:color="auto" w:fill="FFFFFF"/>
          </w:tcPr>
          <w:p w:rsidR="00300792" w:rsidRPr="001A3757" w:rsidRDefault="00300792" w:rsidP="0093289B">
            <w:pPr>
              <w:pStyle w:val="NormalWeb"/>
              <w:spacing w:before="120" w:beforeAutospacing="0"/>
              <w:rPr>
                <w:rFonts w:asciiTheme="majorHAnsi" w:hAnsiTheme="majorHAnsi" w:cstheme="majorHAnsi"/>
                <w:sz w:val="26"/>
                <w:szCs w:val="26"/>
              </w:rPr>
            </w:pPr>
            <w:r w:rsidRPr="001A3757">
              <w:rPr>
                <w:rFonts w:asciiTheme="majorHAnsi" w:hAnsiTheme="majorHAnsi" w:cstheme="majorHAnsi"/>
                <w:sz w:val="26"/>
                <w:szCs w:val="26"/>
                <w:lang w:val="vi-VN"/>
              </w:rPr>
              <w:t> </w:t>
            </w:r>
          </w:p>
        </w:tc>
      </w:tr>
      <w:tr w:rsidR="00300792" w:rsidRPr="001A3757" w:rsidTr="001A3757">
        <w:trPr>
          <w:divId w:val="2118258417"/>
        </w:trPr>
        <w:tc>
          <w:tcPr>
            <w:tcW w:w="3087" w:type="dxa"/>
          </w:tcPr>
          <w:p w:rsidR="00300792" w:rsidRPr="001A3757" w:rsidRDefault="00D7011B" w:rsidP="0093289B">
            <w:pPr>
              <w:pStyle w:val="NormalWeb"/>
              <w:spacing w:before="120" w:beforeAutospacing="0"/>
              <w:jc w:val="center"/>
              <w:rPr>
                <w:rFonts w:asciiTheme="majorHAnsi" w:hAnsiTheme="majorHAnsi" w:cstheme="majorHAnsi"/>
                <w:sz w:val="26"/>
                <w:szCs w:val="26"/>
              </w:rPr>
            </w:pPr>
            <w:r w:rsidRPr="00D7011B">
              <w:rPr>
                <w:rFonts w:asciiTheme="majorHAnsi" w:hAnsiTheme="majorHAnsi" w:cstheme="majorHAnsi"/>
                <w:b/>
                <w:noProof/>
                <w:sz w:val="28"/>
                <w:szCs w:val="28"/>
                <w:lang w:val="vi-VN" w:eastAsia="vi-VN"/>
              </w:rPr>
              <w:pict>
                <v:shapetype id="_x0000_t32" coordsize="21600,21600" o:spt="32" o:oned="t" path="m,l21600,21600e" filled="f">
                  <v:path arrowok="t" fillok="f" o:connecttype="none"/>
                  <o:lock v:ext="edit" shapetype="t"/>
                </v:shapetype>
                <v:shape id="_x0000_s1037" type="#_x0000_t32" style="position:absolute;left:0;text-align:left;margin-left:1.95pt;margin-top:77.85pt;width:468.75pt;height:0;z-index:251661824;mso-position-horizontal-relative:text;mso-position-vertical-relative:text" o:connectortype="straight"/>
              </w:pict>
            </w:r>
            <w:r w:rsidR="00300792" w:rsidRPr="001A3757">
              <w:rPr>
                <w:rFonts w:asciiTheme="majorHAnsi" w:hAnsiTheme="majorHAnsi" w:cstheme="majorHAnsi"/>
                <w:b/>
                <w:bCs/>
                <w:sz w:val="26"/>
                <w:szCs w:val="26"/>
              </w:rPr>
              <w:br/>
            </w:r>
            <w:r w:rsidR="00300792" w:rsidRPr="001A3757">
              <w:rPr>
                <w:rFonts w:asciiTheme="majorHAnsi" w:hAnsiTheme="majorHAnsi" w:cstheme="majorHAnsi"/>
                <w:b/>
                <w:bCs/>
                <w:sz w:val="26"/>
                <w:szCs w:val="26"/>
                <w:lang w:val="vi-VN"/>
              </w:rPr>
              <w:t>Ngư</w:t>
            </w:r>
            <w:r w:rsidR="00300792" w:rsidRPr="001A3757">
              <w:rPr>
                <w:rFonts w:asciiTheme="majorHAnsi" w:hAnsiTheme="majorHAnsi" w:cstheme="majorHAnsi"/>
                <w:b/>
                <w:bCs/>
                <w:sz w:val="26"/>
                <w:szCs w:val="26"/>
              </w:rPr>
              <w:t>ờ</w:t>
            </w:r>
            <w:r w:rsidR="00300792" w:rsidRPr="001A3757">
              <w:rPr>
                <w:rFonts w:asciiTheme="majorHAnsi" w:hAnsiTheme="majorHAnsi" w:cstheme="majorHAnsi"/>
                <w:b/>
                <w:bCs/>
                <w:sz w:val="26"/>
                <w:szCs w:val="26"/>
                <w:lang w:val="vi-VN"/>
              </w:rPr>
              <w:t>i lập báo cáo</w:t>
            </w:r>
            <w:r w:rsidR="00300792" w:rsidRPr="001A3757">
              <w:rPr>
                <w:rFonts w:asciiTheme="majorHAnsi" w:hAnsiTheme="majorHAnsi" w:cstheme="majorHAnsi"/>
                <w:b/>
                <w:bCs/>
                <w:sz w:val="26"/>
                <w:szCs w:val="26"/>
              </w:rPr>
              <w:br/>
            </w:r>
            <w:r w:rsidR="00300792" w:rsidRPr="001A3757">
              <w:rPr>
                <w:rFonts w:asciiTheme="majorHAnsi" w:hAnsiTheme="majorHAnsi" w:cstheme="majorHAnsi"/>
                <w:sz w:val="26"/>
                <w:szCs w:val="26"/>
                <w:lang w:val="vi-VN"/>
              </w:rPr>
              <w:t>(ghi rõ họ, tên)</w:t>
            </w:r>
          </w:p>
        </w:tc>
        <w:tc>
          <w:tcPr>
            <w:tcW w:w="3088" w:type="dxa"/>
            <w:gridSpan w:val="2"/>
          </w:tcPr>
          <w:p w:rsidR="00300792" w:rsidRPr="001A3757" w:rsidRDefault="00300792" w:rsidP="0093289B">
            <w:pPr>
              <w:pStyle w:val="NormalWeb"/>
              <w:spacing w:before="120" w:beforeAutospacing="0"/>
              <w:jc w:val="center"/>
              <w:rPr>
                <w:rFonts w:asciiTheme="majorHAnsi" w:hAnsiTheme="majorHAnsi" w:cstheme="majorHAnsi"/>
                <w:sz w:val="26"/>
                <w:szCs w:val="26"/>
              </w:rPr>
            </w:pPr>
            <w:r w:rsidRPr="001A3757">
              <w:rPr>
                <w:rFonts w:asciiTheme="majorHAnsi" w:hAnsiTheme="majorHAnsi" w:cstheme="majorHAnsi"/>
                <w:b/>
                <w:bCs/>
                <w:sz w:val="26"/>
                <w:szCs w:val="26"/>
              </w:rPr>
              <w:br/>
            </w:r>
            <w:r w:rsidRPr="001A3757">
              <w:rPr>
                <w:rFonts w:asciiTheme="majorHAnsi" w:hAnsiTheme="majorHAnsi" w:cstheme="majorHAnsi"/>
                <w:b/>
                <w:bCs/>
                <w:sz w:val="26"/>
                <w:szCs w:val="26"/>
                <w:lang w:val="vi-VN"/>
              </w:rPr>
              <w:t>Người kiểm soát</w:t>
            </w:r>
            <w:r w:rsidRPr="001A3757">
              <w:rPr>
                <w:rFonts w:asciiTheme="majorHAnsi" w:hAnsiTheme="majorHAnsi" w:cstheme="majorHAnsi"/>
                <w:b/>
                <w:bCs/>
                <w:sz w:val="26"/>
                <w:szCs w:val="26"/>
              </w:rPr>
              <w:br/>
            </w:r>
            <w:r w:rsidRPr="001A3757">
              <w:rPr>
                <w:rFonts w:asciiTheme="majorHAnsi" w:hAnsiTheme="majorHAnsi" w:cstheme="majorHAnsi"/>
                <w:sz w:val="26"/>
                <w:szCs w:val="26"/>
                <w:lang w:val="vi-VN"/>
              </w:rPr>
              <w:t>(ghi rõ họ, tên)</w:t>
            </w:r>
          </w:p>
        </w:tc>
        <w:tc>
          <w:tcPr>
            <w:tcW w:w="3890" w:type="dxa"/>
            <w:gridSpan w:val="2"/>
          </w:tcPr>
          <w:p w:rsidR="00300792" w:rsidRDefault="00300792" w:rsidP="001A3757">
            <w:pPr>
              <w:pStyle w:val="NormalWeb"/>
              <w:spacing w:before="120" w:beforeAutospacing="0"/>
              <w:rPr>
                <w:rFonts w:asciiTheme="majorHAnsi" w:hAnsiTheme="majorHAnsi" w:cstheme="majorHAnsi"/>
                <w:sz w:val="26"/>
                <w:szCs w:val="26"/>
              </w:rPr>
            </w:pPr>
            <w:r w:rsidRPr="001A3757">
              <w:rPr>
                <w:rFonts w:asciiTheme="majorHAnsi" w:hAnsiTheme="majorHAnsi" w:cstheme="majorHAnsi"/>
                <w:i/>
                <w:iCs/>
                <w:sz w:val="26"/>
                <w:szCs w:val="26"/>
              </w:rPr>
              <w:t xml:space="preserve">……., </w:t>
            </w:r>
            <w:r w:rsidRPr="001A3757">
              <w:rPr>
                <w:rFonts w:asciiTheme="majorHAnsi" w:hAnsiTheme="majorHAnsi" w:cstheme="majorHAnsi"/>
                <w:i/>
                <w:iCs/>
                <w:sz w:val="26"/>
                <w:szCs w:val="26"/>
                <w:lang w:val="vi-VN"/>
              </w:rPr>
              <w:t>ngày</w:t>
            </w:r>
            <w:r w:rsidRPr="001A3757">
              <w:rPr>
                <w:rFonts w:asciiTheme="majorHAnsi" w:hAnsiTheme="majorHAnsi" w:cstheme="majorHAnsi"/>
                <w:i/>
                <w:iCs/>
                <w:sz w:val="26"/>
                <w:szCs w:val="26"/>
              </w:rPr>
              <w:t xml:space="preserve"> … </w:t>
            </w:r>
            <w:r w:rsidRPr="001A3757">
              <w:rPr>
                <w:rFonts w:asciiTheme="majorHAnsi" w:hAnsiTheme="majorHAnsi" w:cstheme="majorHAnsi"/>
                <w:i/>
                <w:iCs/>
                <w:sz w:val="26"/>
                <w:szCs w:val="26"/>
                <w:lang w:val="vi-VN"/>
              </w:rPr>
              <w:t>tháng</w:t>
            </w:r>
            <w:r w:rsidRPr="001A3757">
              <w:rPr>
                <w:rFonts w:asciiTheme="majorHAnsi" w:hAnsiTheme="majorHAnsi" w:cstheme="majorHAnsi"/>
                <w:i/>
                <w:iCs/>
                <w:sz w:val="26"/>
                <w:szCs w:val="26"/>
              </w:rPr>
              <w:t xml:space="preserve"> … </w:t>
            </w:r>
            <w:r w:rsidRPr="001A3757">
              <w:rPr>
                <w:rFonts w:asciiTheme="majorHAnsi" w:hAnsiTheme="majorHAnsi" w:cstheme="majorHAnsi"/>
                <w:i/>
                <w:iCs/>
                <w:sz w:val="26"/>
                <w:szCs w:val="26"/>
                <w:lang w:val="vi-VN"/>
              </w:rPr>
              <w:t>năm …</w:t>
            </w:r>
            <w:r w:rsidRPr="001A3757">
              <w:rPr>
                <w:rFonts w:asciiTheme="majorHAnsi" w:hAnsiTheme="majorHAnsi" w:cstheme="majorHAnsi"/>
                <w:b/>
                <w:bCs/>
                <w:sz w:val="26"/>
                <w:szCs w:val="26"/>
              </w:rPr>
              <w:br/>
            </w:r>
            <w:r w:rsidRPr="001A3757">
              <w:rPr>
                <w:rFonts w:asciiTheme="majorHAnsi" w:hAnsiTheme="majorHAnsi" w:cstheme="majorHAnsi"/>
                <w:b/>
                <w:bCs/>
                <w:sz w:val="26"/>
                <w:szCs w:val="26"/>
                <w:lang w:val="vi-VN"/>
              </w:rPr>
              <w:t>Tổng giám đốc (Giám đốc)</w:t>
            </w:r>
            <w:r w:rsidRPr="001A3757">
              <w:rPr>
                <w:rFonts w:asciiTheme="majorHAnsi" w:hAnsiTheme="majorHAnsi" w:cstheme="majorHAnsi"/>
                <w:b/>
                <w:bCs/>
                <w:sz w:val="26"/>
                <w:szCs w:val="26"/>
              </w:rPr>
              <w:br/>
            </w:r>
            <w:r w:rsidRPr="001A3757">
              <w:rPr>
                <w:rFonts w:asciiTheme="majorHAnsi" w:hAnsiTheme="majorHAnsi" w:cstheme="majorHAnsi"/>
                <w:sz w:val="26"/>
                <w:szCs w:val="26"/>
                <w:lang w:val="vi-VN"/>
              </w:rPr>
              <w:t>(ghi rõ họ, tên)</w:t>
            </w:r>
          </w:p>
          <w:p w:rsidR="0042649C" w:rsidRPr="0042649C" w:rsidRDefault="0042649C" w:rsidP="001A3757">
            <w:pPr>
              <w:pStyle w:val="NormalWeb"/>
              <w:spacing w:before="120" w:beforeAutospacing="0"/>
              <w:rPr>
                <w:rFonts w:asciiTheme="majorHAnsi" w:hAnsiTheme="majorHAnsi" w:cstheme="majorHAnsi"/>
                <w:sz w:val="26"/>
                <w:szCs w:val="26"/>
              </w:rPr>
            </w:pPr>
          </w:p>
        </w:tc>
      </w:tr>
    </w:tbl>
    <w:tbl>
      <w:tblPr>
        <w:tblpPr w:leftFromText="180" w:rightFromText="180" w:vertAnchor="text" w:horzAnchor="margin" w:tblpXSpec="center" w:tblpY="203"/>
        <w:tblW w:w="10110" w:type="dxa"/>
        <w:tblLook w:val="04A0"/>
      </w:tblPr>
      <w:tblGrid>
        <w:gridCol w:w="4700"/>
        <w:gridCol w:w="5410"/>
      </w:tblGrid>
      <w:tr w:rsidR="005E353A" w:rsidRPr="00310D87" w:rsidTr="005E353A">
        <w:trPr>
          <w:trHeight w:val="2878"/>
        </w:trPr>
        <w:tc>
          <w:tcPr>
            <w:tcW w:w="4700" w:type="dxa"/>
          </w:tcPr>
          <w:p w:rsidR="005E353A" w:rsidRPr="00310D87" w:rsidRDefault="005E353A" w:rsidP="005E353A">
            <w:pPr>
              <w:keepNext/>
              <w:ind w:firstLine="450"/>
              <w:rPr>
                <w:rFonts w:asciiTheme="majorHAnsi" w:hAnsiTheme="majorHAnsi" w:cstheme="majorHAnsi"/>
                <w:b/>
                <w:sz w:val="28"/>
                <w:szCs w:val="28"/>
              </w:rPr>
            </w:pPr>
            <w:r>
              <w:rPr>
                <w:rFonts w:asciiTheme="majorHAnsi" w:hAnsiTheme="majorHAnsi" w:cstheme="majorHAnsi"/>
                <w:b/>
                <w:sz w:val="28"/>
                <w:szCs w:val="28"/>
              </w:rPr>
              <w:t>N</w:t>
            </w:r>
            <w:r w:rsidRPr="00310D87">
              <w:rPr>
                <w:rFonts w:asciiTheme="majorHAnsi" w:hAnsiTheme="majorHAnsi" w:cstheme="majorHAnsi"/>
                <w:b/>
                <w:sz w:val="28"/>
                <w:szCs w:val="28"/>
              </w:rPr>
              <w:t xml:space="preserve">GÂN HÀNG NHÀ NƯỚC </w:t>
            </w:r>
          </w:p>
          <w:p w:rsidR="005E353A" w:rsidRPr="00310D87" w:rsidRDefault="005E353A" w:rsidP="005E353A">
            <w:pPr>
              <w:keepNext/>
              <w:ind w:firstLine="450"/>
              <w:rPr>
                <w:rFonts w:asciiTheme="majorHAnsi" w:hAnsiTheme="majorHAnsi" w:cstheme="majorHAnsi"/>
                <w:b/>
                <w:sz w:val="28"/>
                <w:szCs w:val="28"/>
              </w:rPr>
            </w:pPr>
            <w:r w:rsidRPr="00310D87">
              <w:rPr>
                <w:rFonts w:asciiTheme="majorHAnsi" w:hAnsiTheme="majorHAnsi" w:cstheme="majorHAnsi"/>
                <w:b/>
                <w:sz w:val="28"/>
                <w:szCs w:val="28"/>
              </w:rPr>
              <w:t xml:space="preserve">                 VIỆT NAM</w:t>
            </w:r>
          </w:p>
          <w:p w:rsidR="005E353A" w:rsidRPr="00310D87" w:rsidRDefault="00D7011B" w:rsidP="005E353A">
            <w:pPr>
              <w:keepNext/>
              <w:spacing w:before="160"/>
              <w:ind w:firstLine="450"/>
              <w:rPr>
                <w:rFonts w:asciiTheme="majorHAnsi" w:hAnsiTheme="majorHAnsi" w:cstheme="majorHAnsi"/>
                <w:sz w:val="28"/>
                <w:szCs w:val="28"/>
              </w:rPr>
            </w:pPr>
            <w:r w:rsidRPr="00D7011B">
              <w:rPr>
                <w:rFonts w:asciiTheme="majorHAnsi" w:hAnsiTheme="majorHAnsi" w:cstheme="majorHAnsi"/>
                <w:b/>
                <w:noProof/>
                <w:sz w:val="28"/>
                <w:szCs w:val="28"/>
              </w:rPr>
              <w:pict>
                <v:line id="Line 6" o:spid="_x0000_s1038" style="position:absolute;left:0;text-align:left;z-index:251663872;visibility:visible;mso-wrap-distance-top:-3e-5mm;mso-wrap-distance-bottom:-3e-5mm" from="85.1pt,1.75pt" to="139.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7OEQ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"/>
              </w:pict>
            </w:r>
            <w:r w:rsidR="005E353A" w:rsidRPr="00310D87">
              <w:rPr>
                <w:rFonts w:asciiTheme="majorHAnsi" w:hAnsiTheme="majorHAnsi" w:cstheme="majorHAnsi"/>
                <w:sz w:val="28"/>
                <w:szCs w:val="28"/>
              </w:rPr>
              <w:t xml:space="preserve">     Số: </w:t>
            </w:r>
            <w:r w:rsidR="005E353A" w:rsidRPr="0059196D">
              <w:rPr>
                <w:rFonts w:asciiTheme="majorHAnsi" w:hAnsiTheme="majorHAnsi" w:cstheme="majorHAnsi"/>
                <w:sz w:val="28"/>
                <w:szCs w:val="28"/>
              </w:rPr>
              <w:t xml:space="preserve"> </w:t>
            </w:r>
            <w:r w:rsidR="00FC3669">
              <w:rPr>
                <w:rFonts w:asciiTheme="majorHAnsi" w:hAnsiTheme="majorHAnsi" w:cstheme="majorHAnsi"/>
                <w:sz w:val="28"/>
                <w:szCs w:val="28"/>
              </w:rPr>
              <w:t>15</w:t>
            </w:r>
            <w:r w:rsidR="005E353A">
              <w:rPr>
                <w:rFonts w:asciiTheme="majorHAnsi" w:hAnsiTheme="majorHAnsi" w:cstheme="majorHAnsi"/>
                <w:sz w:val="28"/>
                <w:szCs w:val="28"/>
              </w:rPr>
              <w:t xml:space="preserve">      </w:t>
            </w:r>
            <w:r w:rsidR="00FC3669">
              <w:rPr>
                <w:rFonts w:asciiTheme="majorHAnsi" w:hAnsiTheme="majorHAnsi" w:cstheme="majorHAnsi"/>
                <w:sz w:val="28"/>
                <w:szCs w:val="28"/>
              </w:rPr>
              <w:t xml:space="preserve"> </w:t>
            </w:r>
            <w:r w:rsidR="005E353A" w:rsidRPr="00310D87">
              <w:rPr>
                <w:rFonts w:asciiTheme="majorHAnsi" w:hAnsiTheme="majorHAnsi" w:cstheme="majorHAnsi"/>
                <w:sz w:val="28"/>
                <w:szCs w:val="28"/>
              </w:rPr>
              <w:t>/VBHN-NHNN</w:t>
            </w:r>
          </w:p>
          <w:p w:rsidR="005E353A" w:rsidRPr="00310D87" w:rsidRDefault="005E353A" w:rsidP="005E353A">
            <w:pPr>
              <w:keepNext/>
              <w:ind w:firstLine="450"/>
              <w:rPr>
                <w:rFonts w:asciiTheme="majorHAnsi" w:hAnsiTheme="majorHAnsi" w:cstheme="majorHAnsi"/>
                <w:b/>
                <w:i/>
              </w:rPr>
            </w:pPr>
          </w:p>
          <w:p w:rsidR="005E353A" w:rsidRPr="00310D87" w:rsidRDefault="005E353A" w:rsidP="005E353A">
            <w:pPr>
              <w:keepNext/>
              <w:rPr>
                <w:rFonts w:asciiTheme="majorHAnsi" w:hAnsiTheme="majorHAnsi" w:cstheme="majorHAnsi"/>
                <w:b/>
                <w:i/>
              </w:rPr>
            </w:pPr>
            <w:r w:rsidRPr="00310D87">
              <w:rPr>
                <w:rFonts w:asciiTheme="majorHAnsi" w:hAnsiTheme="majorHAnsi" w:cstheme="majorHAnsi"/>
                <w:b/>
                <w:i/>
              </w:rPr>
              <w:t>Nơi nhận:</w:t>
            </w:r>
          </w:p>
          <w:p w:rsidR="005E353A" w:rsidRPr="00C66AE0" w:rsidRDefault="005E353A" w:rsidP="005E353A">
            <w:pPr>
              <w:ind w:firstLine="142"/>
              <w:jc w:val="both"/>
            </w:pPr>
            <w:r w:rsidRPr="00C66AE0">
              <w:t xml:space="preserve">- Ban lãnh đạo NHNN; </w:t>
            </w:r>
          </w:p>
          <w:p w:rsidR="005E353A" w:rsidRPr="00182896" w:rsidRDefault="005E353A" w:rsidP="005E353A">
            <w:pPr>
              <w:ind w:firstLine="142"/>
              <w:jc w:val="both"/>
            </w:pPr>
            <w:r w:rsidRPr="00C66AE0">
              <w:t>- Văn phòng Chính phủ (để đăng Công</w:t>
            </w:r>
            <w:r w:rsidRPr="00182896">
              <w:t xml:space="preserve"> </w:t>
            </w:r>
            <w:r w:rsidRPr="00C66AE0">
              <w:t>báo);</w:t>
            </w:r>
          </w:p>
          <w:p w:rsidR="005E353A" w:rsidRPr="00C66AE0" w:rsidRDefault="005E353A" w:rsidP="005E353A">
            <w:pPr>
              <w:ind w:firstLine="142"/>
              <w:jc w:val="both"/>
            </w:pPr>
            <w:r w:rsidRPr="00C66AE0">
              <w:t>- Cổng thông tin điện tử NHNN;</w:t>
            </w:r>
            <w:r w:rsidRPr="00C66AE0">
              <w:tab/>
            </w:r>
          </w:p>
          <w:p w:rsidR="005E353A" w:rsidRPr="00C66AE0" w:rsidRDefault="005E353A" w:rsidP="005E353A">
            <w:pPr>
              <w:tabs>
                <w:tab w:val="left" w:pos="2460"/>
              </w:tabs>
              <w:ind w:firstLine="142"/>
              <w:jc w:val="both"/>
            </w:pPr>
            <w:r w:rsidRPr="00C66AE0">
              <w:t>- Lưu VP, PC</w:t>
            </w:r>
            <w:r w:rsidRPr="00BD52AB">
              <w:t>3</w:t>
            </w:r>
            <w:r w:rsidRPr="00C66AE0">
              <w:t xml:space="preserve"> </w:t>
            </w:r>
            <w:r>
              <w:t>(</w:t>
            </w:r>
            <w:r w:rsidRPr="00BD52AB">
              <w:t>2</w:t>
            </w:r>
            <w:r w:rsidRPr="00C66AE0">
              <w:t>).</w:t>
            </w:r>
          </w:p>
          <w:p w:rsidR="005E353A" w:rsidRPr="00310D87" w:rsidRDefault="005E353A" w:rsidP="005E353A">
            <w:pPr>
              <w:keepNext/>
              <w:spacing w:before="60"/>
              <w:rPr>
                <w:rFonts w:asciiTheme="majorHAnsi" w:hAnsiTheme="majorHAnsi" w:cstheme="majorHAnsi"/>
                <w:szCs w:val="28"/>
              </w:rPr>
            </w:pPr>
          </w:p>
        </w:tc>
        <w:tc>
          <w:tcPr>
            <w:tcW w:w="5410" w:type="dxa"/>
          </w:tcPr>
          <w:p w:rsidR="005E353A" w:rsidRPr="001A3757" w:rsidRDefault="005E353A" w:rsidP="005E353A">
            <w:pPr>
              <w:keepNext/>
              <w:spacing w:after="60"/>
              <w:ind w:left="703" w:hanging="255"/>
              <w:rPr>
                <w:rFonts w:asciiTheme="majorHAnsi" w:hAnsiTheme="majorHAnsi" w:cstheme="majorHAnsi"/>
                <w:b/>
                <w:sz w:val="28"/>
                <w:szCs w:val="28"/>
              </w:rPr>
            </w:pPr>
            <w:r w:rsidRPr="00310D87">
              <w:rPr>
                <w:rFonts w:asciiTheme="majorHAnsi" w:hAnsiTheme="majorHAnsi" w:cstheme="majorHAnsi"/>
                <w:b/>
                <w:sz w:val="28"/>
                <w:szCs w:val="28"/>
              </w:rPr>
              <w:t xml:space="preserve">    XÁC THỰC VĂN BẢN HỢP NHẤT</w:t>
            </w:r>
            <w:r w:rsidRPr="00310D87">
              <w:rPr>
                <w:rFonts w:asciiTheme="majorHAnsi" w:hAnsiTheme="majorHAnsi" w:cstheme="majorHAnsi"/>
                <w:i/>
                <w:sz w:val="28"/>
                <w:szCs w:val="28"/>
              </w:rPr>
              <w:t xml:space="preserve"> </w:t>
            </w:r>
            <w:r>
              <w:rPr>
                <w:rFonts w:asciiTheme="majorHAnsi" w:hAnsiTheme="majorHAnsi" w:cstheme="majorHAnsi"/>
                <w:i/>
                <w:sz w:val="28"/>
                <w:szCs w:val="28"/>
              </w:rPr>
              <w:t xml:space="preserve">             </w:t>
            </w:r>
            <w:r w:rsidRPr="00310D87">
              <w:rPr>
                <w:rFonts w:asciiTheme="majorHAnsi" w:hAnsiTheme="majorHAnsi" w:cstheme="majorHAnsi"/>
                <w:i/>
                <w:sz w:val="28"/>
                <w:szCs w:val="28"/>
              </w:rPr>
              <w:t xml:space="preserve">Hà Nội, ngày </w:t>
            </w:r>
            <w:r w:rsidR="00FC3669">
              <w:rPr>
                <w:rFonts w:asciiTheme="majorHAnsi" w:hAnsiTheme="majorHAnsi" w:cstheme="majorHAnsi"/>
                <w:i/>
                <w:sz w:val="28"/>
                <w:szCs w:val="28"/>
              </w:rPr>
              <w:t xml:space="preserve"> 4 </w:t>
            </w:r>
            <w:r w:rsidRPr="00310D87">
              <w:rPr>
                <w:rFonts w:asciiTheme="majorHAnsi" w:hAnsiTheme="majorHAnsi" w:cstheme="majorHAnsi"/>
                <w:i/>
                <w:sz w:val="28"/>
                <w:szCs w:val="28"/>
              </w:rPr>
              <w:t>tháng</w:t>
            </w:r>
            <w:r>
              <w:rPr>
                <w:rFonts w:asciiTheme="majorHAnsi" w:hAnsiTheme="majorHAnsi" w:cstheme="majorHAnsi"/>
                <w:i/>
                <w:sz w:val="28"/>
                <w:szCs w:val="28"/>
              </w:rPr>
              <w:t xml:space="preserve"> </w:t>
            </w:r>
            <w:r w:rsidRPr="00C62D58">
              <w:rPr>
                <w:rFonts w:asciiTheme="majorHAnsi" w:hAnsiTheme="majorHAnsi" w:cstheme="majorHAnsi"/>
                <w:i/>
                <w:sz w:val="28"/>
                <w:szCs w:val="28"/>
              </w:rPr>
              <w:t xml:space="preserve">  </w:t>
            </w:r>
            <w:r w:rsidR="00FC3669">
              <w:rPr>
                <w:rFonts w:asciiTheme="majorHAnsi" w:hAnsiTheme="majorHAnsi" w:cstheme="majorHAnsi"/>
                <w:i/>
                <w:sz w:val="28"/>
                <w:szCs w:val="28"/>
              </w:rPr>
              <w:t>4</w:t>
            </w:r>
            <w:r w:rsidRPr="00C62D58">
              <w:rPr>
                <w:rFonts w:asciiTheme="majorHAnsi" w:hAnsiTheme="majorHAnsi" w:cstheme="majorHAnsi"/>
                <w:i/>
                <w:sz w:val="28"/>
                <w:szCs w:val="28"/>
              </w:rPr>
              <w:t xml:space="preserve"> </w:t>
            </w:r>
            <w:r>
              <w:rPr>
                <w:rFonts w:asciiTheme="majorHAnsi" w:hAnsiTheme="majorHAnsi" w:cstheme="majorHAnsi"/>
                <w:i/>
                <w:sz w:val="28"/>
                <w:szCs w:val="28"/>
              </w:rPr>
              <w:t xml:space="preserve">  năm 201</w:t>
            </w:r>
            <w:r w:rsidRPr="00C62D58">
              <w:rPr>
                <w:rFonts w:asciiTheme="majorHAnsi" w:hAnsiTheme="majorHAnsi" w:cstheme="majorHAnsi"/>
                <w:i/>
                <w:sz w:val="28"/>
                <w:szCs w:val="28"/>
              </w:rPr>
              <w:t>9</w:t>
            </w:r>
          </w:p>
          <w:p w:rsidR="005E353A" w:rsidRPr="00562C26" w:rsidRDefault="005E353A" w:rsidP="005E353A">
            <w:pPr>
              <w:keepNext/>
              <w:ind w:firstLine="450"/>
              <w:jc w:val="center"/>
              <w:rPr>
                <w:rFonts w:asciiTheme="majorHAnsi" w:hAnsiTheme="majorHAnsi" w:cstheme="majorHAnsi"/>
                <w:b/>
                <w:sz w:val="28"/>
                <w:szCs w:val="28"/>
              </w:rPr>
            </w:pPr>
            <w:r w:rsidRPr="00562C26">
              <w:rPr>
                <w:rFonts w:asciiTheme="majorHAnsi" w:hAnsiTheme="majorHAnsi" w:cstheme="majorHAnsi"/>
                <w:b/>
                <w:sz w:val="28"/>
                <w:szCs w:val="28"/>
              </w:rPr>
              <w:t>KT. THỐNG ĐỐC</w:t>
            </w:r>
          </w:p>
          <w:p w:rsidR="005E353A" w:rsidRPr="00FC3669" w:rsidRDefault="005E353A" w:rsidP="00FC3669">
            <w:pPr>
              <w:keepNext/>
              <w:jc w:val="center"/>
              <w:outlineLvl w:val="2"/>
              <w:rPr>
                <w:rFonts w:asciiTheme="majorHAnsi" w:hAnsiTheme="majorHAnsi" w:cstheme="majorHAnsi"/>
                <w:b/>
                <w:sz w:val="28"/>
                <w:szCs w:val="28"/>
              </w:rPr>
            </w:pPr>
            <w:r>
              <w:rPr>
                <w:rFonts w:asciiTheme="majorHAnsi" w:hAnsiTheme="majorHAnsi" w:cstheme="majorHAnsi"/>
                <w:b/>
                <w:sz w:val="28"/>
                <w:szCs w:val="28"/>
              </w:rPr>
              <w:t xml:space="preserve">       </w:t>
            </w:r>
            <w:r w:rsidRPr="00562C26">
              <w:rPr>
                <w:rFonts w:asciiTheme="majorHAnsi" w:hAnsiTheme="majorHAnsi" w:cstheme="majorHAnsi"/>
                <w:b/>
                <w:sz w:val="28"/>
                <w:szCs w:val="28"/>
              </w:rPr>
              <w:t>PHÓ THỐNG ĐỐC</w:t>
            </w:r>
          </w:p>
          <w:p w:rsidR="005E353A" w:rsidRPr="00C62D58" w:rsidRDefault="005E353A" w:rsidP="005E353A">
            <w:pPr>
              <w:keepNext/>
              <w:outlineLvl w:val="2"/>
              <w:rPr>
                <w:rFonts w:asciiTheme="majorHAnsi" w:hAnsiTheme="majorHAnsi" w:cstheme="majorHAnsi"/>
                <w:szCs w:val="28"/>
              </w:rPr>
            </w:pPr>
          </w:p>
          <w:p w:rsidR="00FC3669" w:rsidRPr="0030125D" w:rsidRDefault="005E353A" w:rsidP="00FC3669">
            <w:pPr>
              <w:keepNext/>
              <w:jc w:val="center"/>
              <w:outlineLvl w:val="2"/>
              <w:rPr>
                <w:rFonts w:asciiTheme="majorHAnsi" w:hAnsiTheme="majorHAnsi" w:cstheme="majorHAnsi"/>
                <w:i/>
                <w:sz w:val="28"/>
                <w:szCs w:val="28"/>
              </w:rPr>
            </w:pPr>
            <w:r>
              <w:rPr>
                <w:rFonts w:asciiTheme="majorHAnsi" w:hAnsiTheme="majorHAnsi" w:cstheme="majorHAnsi"/>
                <w:b/>
                <w:szCs w:val="28"/>
              </w:rPr>
              <w:t xml:space="preserve"> </w:t>
            </w:r>
            <w:r w:rsidR="00FC3669" w:rsidRPr="0030125D">
              <w:rPr>
                <w:rFonts w:asciiTheme="majorHAnsi" w:hAnsiTheme="majorHAnsi" w:cstheme="majorHAnsi"/>
                <w:i/>
                <w:sz w:val="28"/>
                <w:szCs w:val="28"/>
              </w:rPr>
              <w:t>(</w:t>
            </w:r>
            <w:r w:rsidR="00FC3669" w:rsidRPr="0030125D">
              <w:rPr>
                <w:rFonts w:asciiTheme="majorHAnsi" w:hAnsiTheme="majorHAnsi" w:cstheme="majorHAnsi"/>
                <w:i/>
                <w:sz w:val="28"/>
                <w:szCs w:val="28"/>
                <w:lang w:val="vi-VN"/>
              </w:rPr>
              <w:t>Đã k</w:t>
            </w:r>
            <w:r w:rsidR="00FC3669" w:rsidRPr="0030125D">
              <w:rPr>
                <w:rFonts w:asciiTheme="majorHAnsi" w:hAnsiTheme="majorHAnsi" w:cstheme="majorHAnsi"/>
                <w:i/>
                <w:sz w:val="28"/>
                <w:szCs w:val="28"/>
              </w:rPr>
              <w:t>ý)</w:t>
            </w:r>
          </w:p>
          <w:p w:rsidR="005E353A" w:rsidRDefault="005E353A" w:rsidP="005E353A">
            <w:pPr>
              <w:keepNext/>
              <w:outlineLvl w:val="2"/>
              <w:rPr>
                <w:rFonts w:asciiTheme="majorHAnsi" w:hAnsiTheme="majorHAnsi" w:cstheme="majorHAnsi"/>
                <w:b/>
                <w:szCs w:val="28"/>
              </w:rPr>
            </w:pPr>
          </w:p>
          <w:p w:rsidR="005E353A" w:rsidRDefault="005E353A" w:rsidP="005E353A">
            <w:pPr>
              <w:keepNext/>
              <w:outlineLvl w:val="2"/>
              <w:rPr>
                <w:rFonts w:asciiTheme="majorHAnsi" w:hAnsiTheme="majorHAnsi" w:cstheme="majorHAnsi"/>
                <w:b/>
                <w:szCs w:val="28"/>
              </w:rPr>
            </w:pPr>
          </w:p>
          <w:p w:rsidR="005E353A" w:rsidRDefault="005E353A" w:rsidP="005E353A">
            <w:pPr>
              <w:keepNext/>
              <w:outlineLvl w:val="2"/>
              <w:rPr>
                <w:rFonts w:asciiTheme="majorHAnsi" w:hAnsiTheme="majorHAnsi" w:cstheme="majorHAnsi"/>
                <w:b/>
                <w:szCs w:val="28"/>
              </w:rPr>
            </w:pPr>
          </w:p>
          <w:p w:rsidR="005E353A" w:rsidRPr="001A3757" w:rsidRDefault="005E353A" w:rsidP="005E353A">
            <w:pPr>
              <w:keepNext/>
              <w:outlineLvl w:val="2"/>
              <w:rPr>
                <w:rFonts w:asciiTheme="majorHAnsi" w:hAnsiTheme="majorHAnsi" w:cstheme="majorHAnsi"/>
                <w:b/>
                <w:szCs w:val="28"/>
              </w:rPr>
            </w:pPr>
            <w:r>
              <w:rPr>
                <w:rFonts w:asciiTheme="majorHAnsi" w:hAnsiTheme="majorHAnsi" w:cstheme="majorHAnsi"/>
                <w:b/>
                <w:szCs w:val="28"/>
              </w:rPr>
              <w:t xml:space="preserve">                                 </w:t>
            </w:r>
            <w:r w:rsidRPr="00C62D58">
              <w:rPr>
                <w:rFonts w:asciiTheme="majorHAnsi" w:hAnsiTheme="majorHAnsi" w:cstheme="majorHAnsi"/>
                <w:b/>
                <w:sz w:val="28"/>
                <w:szCs w:val="28"/>
              </w:rPr>
              <w:t>Đoàn Thái Sơn</w:t>
            </w:r>
            <w:r w:rsidRPr="00C62D58">
              <w:rPr>
                <w:rFonts w:asciiTheme="majorHAnsi" w:hAnsiTheme="majorHAnsi" w:cstheme="majorHAnsi"/>
                <w:sz w:val="28"/>
                <w:szCs w:val="28"/>
              </w:rPr>
              <w:t xml:space="preserve"> </w:t>
            </w:r>
          </w:p>
        </w:tc>
      </w:tr>
    </w:tbl>
    <w:p w:rsidR="001A3757" w:rsidRDefault="001A3757" w:rsidP="001A3757">
      <w:pPr>
        <w:keepNext/>
        <w:ind w:firstLine="450"/>
        <w:rPr>
          <w:rFonts w:asciiTheme="majorHAnsi" w:hAnsiTheme="majorHAnsi" w:cstheme="majorHAnsi"/>
          <w:b/>
          <w:sz w:val="28"/>
          <w:szCs w:val="28"/>
        </w:rPr>
        <w:sectPr w:rsidR="001A3757" w:rsidSect="0042649C">
          <w:pgSz w:w="11907" w:h="16840" w:code="9"/>
          <w:pgMar w:top="820" w:right="1134" w:bottom="567" w:left="1701" w:header="340" w:footer="567" w:gutter="0"/>
          <w:cols w:space="720"/>
          <w:titlePg/>
          <w:docGrid w:linePitch="360"/>
        </w:sectPr>
      </w:pPr>
    </w:p>
    <w:p w:rsidR="001A3757" w:rsidRPr="00CF6259" w:rsidRDefault="00300792" w:rsidP="00300792">
      <w:pPr>
        <w:pStyle w:val="NormalWeb"/>
        <w:spacing w:before="120" w:beforeAutospacing="0"/>
        <w:divId w:val="2118258417"/>
        <w:rPr>
          <w:sz w:val="28"/>
          <w:szCs w:val="28"/>
        </w:rPr>
      </w:pPr>
      <w:r w:rsidRPr="003D528A">
        <w:rPr>
          <w:b/>
          <w:bCs/>
          <w:sz w:val="28"/>
          <w:szCs w:val="28"/>
        </w:rPr>
        <w:lastRenderedPageBreak/>
        <w:t> </w:t>
      </w:r>
      <w:r w:rsidRPr="003D528A">
        <w:rPr>
          <w:sz w:val="28"/>
          <w:szCs w:val="28"/>
        </w:rPr>
        <w:t> </w:t>
      </w:r>
      <w:bookmarkStart w:id="28" w:name="chuong_pl"/>
      <w:bookmarkEnd w:id="28"/>
    </w:p>
    <w:p w:rsidR="003D528A" w:rsidRPr="00CF6259" w:rsidRDefault="003D528A" w:rsidP="00300792">
      <w:pPr>
        <w:pStyle w:val="NormalWeb"/>
        <w:spacing w:before="120" w:beforeAutospacing="0"/>
        <w:divId w:val="2118258417"/>
        <w:rPr>
          <w:sz w:val="28"/>
          <w:szCs w:val="28"/>
        </w:rPr>
      </w:pPr>
    </w:p>
    <w:sectPr w:rsidR="003D528A" w:rsidRPr="00CF6259" w:rsidSect="00300792">
      <w:pgSz w:w="11907" w:h="16840" w:code="9"/>
      <w:pgMar w:top="1134" w:right="1134" w:bottom="1134" w:left="1701" w:header="510" w:footer="68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D46" w:rsidRDefault="00191D46" w:rsidP="00300792">
      <w:r>
        <w:separator/>
      </w:r>
    </w:p>
  </w:endnote>
  <w:endnote w:type="continuationSeparator" w:id="1">
    <w:p w:rsidR="00191D46" w:rsidRDefault="00191D46" w:rsidP="00300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D46" w:rsidRDefault="00191D46" w:rsidP="00300792">
      <w:r>
        <w:separator/>
      </w:r>
    </w:p>
  </w:footnote>
  <w:footnote w:type="continuationSeparator" w:id="1">
    <w:p w:rsidR="00191D46" w:rsidRDefault="00191D46" w:rsidP="00300792">
      <w:r>
        <w:continuationSeparator/>
      </w:r>
    </w:p>
  </w:footnote>
  <w:footnote w:id="2">
    <w:p w:rsidR="003639BA" w:rsidRDefault="003639BA" w:rsidP="00B85942">
      <w:pPr>
        <w:pStyle w:val="FootnoteText"/>
        <w:spacing w:before="60" w:after="60"/>
        <w:ind w:firstLine="720"/>
        <w:jc w:val="both"/>
        <w:rPr>
          <w:sz w:val="24"/>
          <w:szCs w:val="24"/>
        </w:rPr>
      </w:pPr>
      <w:r w:rsidRPr="003639BA">
        <w:rPr>
          <w:rStyle w:val="FootnoteReference"/>
          <w:sz w:val="24"/>
          <w:szCs w:val="24"/>
        </w:rPr>
        <w:footnoteRef/>
      </w:r>
      <w:r w:rsidRPr="003639BA">
        <w:rPr>
          <w:sz w:val="24"/>
          <w:szCs w:val="24"/>
        </w:rPr>
        <w:t xml:space="preserve"> Thông tư số 04/2019/TT-NHNN sửa đổi, bổ sung một số điều của Thông tư số 24/2013/TT-NHNN ngày 02 tháng 12 năm 2013 của Thống đốc Ngân hàng Nhà nước Việt Nam quy định về phân loại tài sản có và cam kết ngoại bảng của Ngân hàng Phát triển Việt Nam</w:t>
      </w:r>
      <w:r>
        <w:rPr>
          <w:sz w:val="24"/>
          <w:szCs w:val="24"/>
        </w:rPr>
        <w:t xml:space="preserve"> có căn cứ ban hành như sau:</w:t>
      </w:r>
    </w:p>
    <w:p w:rsidR="005F7F45" w:rsidRPr="005F7F45" w:rsidRDefault="005F7F45" w:rsidP="005F7F45">
      <w:pPr>
        <w:spacing w:before="60" w:after="60"/>
        <w:ind w:right="40" w:firstLine="720"/>
        <w:jc w:val="both"/>
        <w:rPr>
          <w:i/>
        </w:rPr>
      </w:pPr>
      <w:r w:rsidRPr="005F7F45">
        <w:t>“</w:t>
      </w:r>
      <w:r w:rsidRPr="005F7F45">
        <w:rPr>
          <w:i/>
        </w:rPr>
        <w:t>Căn cứ Luật Ngân hàng Nhà nước Việt Nam ngày 16 tháng 6 năm 2010;</w:t>
      </w:r>
    </w:p>
    <w:p w:rsidR="005F7F45" w:rsidRPr="005F7F45" w:rsidRDefault="005F7F45" w:rsidP="005F7F45">
      <w:pPr>
        <w:pStyle w:val="BodyText"/>
        <w:spacing w:before="60" w:after="60"/>
        <w:ind w:firstLine="720"/>
        <w:jc w:val="both"/>
        <w:rPr>
          <w:i/>
          <w:sz w:val="24"/>
          <w:szCs w:val="24"/>
        </w:rPr>
      </w:pPr>
      <w:r w:rsidRPr="005F7F45">
        <w:rPr>
          <w:i/>
          <w:sz w:val="24"/>
          <w:szCs w:val="24"/>
        </w:rPr>
        <w:t>Căn cứ Luật Các tổ chức tín dụng ngày 16 tháng 6 năm 2010 và Luật sửa đổi, bổ sung một số điều của Luật Các tổ chức tín dụng ngày 20 tháng 11 năm 2017;</w:t>
      </w:r>
    </w:p>
    <w:p w:rsidR="005F7F45" w:rsidRPr="005F7F45" w:rsidRDefault="005F7F45" w:rsidP="005F7F45">
      <w:pPr>
        <w:spacing w:before="60" w:after="60"/>
        <w:ind w:firstLine="720"/>
        <w:jc w:val="both"/>
        <w:rPr>
          <w:i/>
        </w:rPr>
      </w:pPr>
      <w:r w:rsidRPr="005F7F45">
        <w:rPr>
          <w:i/>
        </w:rPr>
        <w:t xml:space="preserve">Căn cứ Nghị định số 32/2017/NĐ-CP ngày 31 tháng 3 năm 2017 của Chính phủ về tín dụng đầu tư của Nhà nước; </w:t>
      </w:r>
    </w:p>
    <w:p w:rsidR="005F7F45" w:rsidRPr="005F7F45" w:rsidRDefault="005F7F45" w:rsidP="005F7F45">
      <w:pPr>
        <w:spacing w:before="60" w:after="60"/>
        <w:ind w:firstLine="720"/>
        <w:jc w:val="both"/>
        <w:rPr>
          <w:i/>
        </w:rPr>
      </w:pPr>
      <w:r w:rsidRPr="005F7F45">
        <w:rPr>
          <w:i/>
        </w:rPr>
        <w:t xml:space="preserve">Căn cứ Nghị định số 16/2017/NĐ-CP ngày 17 tháng 02 năm 2017 của Chính phủ quy định chức năng, nhiệm vụ, quyền hạn và cơ cấu tổ chức của Ngân hàng Nhà nước Việt </w:t>
      </w:r>
      <w:smartTag w:uri="urn:schemas-microsoft-com:office:smarttags" w:element="country-region">
        <w:r w:rsidRPr="005F7F45">
          <w:rPr>
            <w:i/>
          </w:rPr>
          <w:t>Nam</w:t>
        </w:r>
      </w:smartTag>
      <w:r w:rsidRPr="005F7F45">
        <w:rPr>
          <w:i/>
        </w:rPr>
        <w:t>;</w:t>
      </w:r>
    </w:p>
    <w:p w:rsidR="005F7F45" w:rsidRPr="005F7F45" w:rsidRDefault="005F7F45" w:rsidP="005F7F45">
      <w:pPr>
        <w:spacing w:before="60" w:after="60"/>
        <w:ind w:firstLine="720"/>
        <w:jc w:val="both"/>
        <w:rPr>
          <w:i/>
        </w:rPr>
      </w:pPr>
      <w:r w:rsidRPr="005F7F45">
        <w:rPr>
          <w:i/>
        </w:rPr>
        <w:t>Căn cứ Quyết định số 108/2006/QĐ-TTg ngày 19 tháng 5 năm 2006 của Thủ tướng Chính phủ về việc thành lập Ngân hàng Phát triển Việt Nam;</w:t>
      </w:r>
    </w:p>
    <w:p w:rsidR="005F7F45" w:rsidRPr="005F7F45" w:rsidRDefault="005F7F45" w:rsidP="005F7F45">
      <w:pPr>
        <w:spacing w:before="60" w:after="60"/>
        <w:ind w:firstLine="720"/>
        <w:jc w:val="both"/>
        <w:rPr>
          <w:i/>
        </w:rPr>
      </w:pPr>
      <w:r w:rsidRPr="005F7F45">
        <w:rPr>
          <w:i/>
        </w:rPr>
        <w:t xml:space="preserve">Căn cứ Quyết định số 1515/QĐ-TTg ngày 03 tháng 9 năm 2015 của Thủ tướng Chính phủ ban hành Điều lệ tổ chức và hoạt động của Ngân hàng Phát triển Việt Nam;  </w:t>
      </w:r>
    </w:p>
    <w:p w:rsidR="005F7F45" w:rsidRPr="005F7F45" w:rsidRDefault="005F7F45" w:rsidP="005F7F45">
      <w:pPr>
        <w:spacing w:before="60" w:after="60"/>
        <w:ind w:firstLine="720"/>
        <w:jc w:val="both"/>
        <w:rPr>
          <w:i/>
        </w:rPr>
      </w:pPr>
      <w:r w:rsidRPr="005F7F45">
        <w:rPr>
          <w:i/>
        </w:rPr>
        <w:t>Theo đề nghị của Chánh Thanh tra, giám sát ngân hàng;</w:t>
      </w:r>
      <w:r w:rsidRPr="005F7F45">
        <w:rPr>
          <w:i/>
        </w:rPr>
        <w:tab/>
      </w:r>
      <w:r w:rsidRPr="005F7F45">
        <w:rPr>
          <w:i/>
        </w:rPr>
        <w:tab/>
      </w:r>
    </w:p>
    <w:p w:rsidR="005F7F45" w:rsidRPr="007E3DD8" w:rsidRDefault="005F7F45" w:rsidP="007E3DD8">
      <w:pPr>
        <w:spacing w:before="60" w:after="60"/>
        <w:ind w:firstLine="720"/>
        <w:jc w:val="both"/>
        <w:rPr>
          <w:i/>
        </w:rPr>
      </w:pPr>
      <w:r w:rsidRPr="005F7F45">
        <w:rPr>
          <w:i/>
        </w:rPr>
        <w:t>Thống đốc Ngân hàng Nhà nước Việt Nam ban hành Thông tư sửa đổi, bổ sung một số điều của Thông tư số 24/2013/TT-NHNN ngày 02 tháng 12 năm 2013 của Thống đốc Ngân hàng Nhà nước Việt Nam quy định về phân loại tài sản có và cam kết ngoại bảng của Ngân hàng Phát triển Việt Nam (sau đây gọi tắt là Thông tư số 24/2013/TT-NHNN).”</w:t>
      </w:r>
    </w:p>
  </w:footnote>
  <w:footnote w:id="3">
    <w:p w:rsidR="005F7F45" w:rsidRPr="005F7F45" w:rsidRDefault="005F7F45" w:rsidP="00B85942">
      <w:pPr>
        <w:pStyle w:val="FootnoteText"/>
        <w:spacing w:before="60" w:after="60"/>
        <w:ind w:firstLine="720"/>
        <w:jc w:val="both"/>
        <w:rPr>
          <w:sz w:val="24"/>
          <w:szCs w:val="24"/>
        </w:rPr>
      </w:pPr>
      <w:r w:rsidRPr="005F7F45">
        <w:rPr>
          <w:rStyle w:val="FootnoteReference"/>
          <w:sz w:val="24"/>
          <w:szCs w:val="24"/>
        </w:rPr>
        <w:footnoteRef/>
      </w:r>
      <w:r w:rsidRPr="005F7F45">
        <w:rPr>
          <w:sz w:val="24"/>
          <w:szCs w:val="24"/>
        </w:rPr>
        <w:t xml:space="preserve"> Điều này được sửa đổi theo quy định tại Khoản 1 Điều 1 của Thông tư số 04/2019/TT-NHNN sửa đổi, bổ sung một số điều của Thông tư số 24/2013/TT-NHNN ngày 02 tháng 12 năm 2013 của Thống đốc Ngân hàng Nhà nước Việt Nam quy định về phân loại tài sản có và cam kết ngoại bảng của Ngân hàng Phát triển Việt Nam, có hiệu lực kể từ ngày 15 tháng 5 năm 2019. </w:t>
      </w:r>
    </w:p>
  </w:footnote>
  <w:footnote w:id="4">
    <w:p w:rsidR="00B85942" w:rsidRPr="00B85942" w:rsidRDefault="00B85942" w:rsidP="00B85942">
      <w:pPr>
        <w:pStyle w:val="FootnoteText"/>
        <w:spacing w:before="60" w:after="60"/>
        <w:ind w:firstLine="720"/>
        <w:jc w:val="both"/>
        <w:rPr>
          <w:sz w:val="24"/>
          <w:szCs w:val="24"/>
        </w:rPr>
      </w:pPr>
      <w:r w:rsidRPr="00B85942">
        <w:rPr>
          <w:rStyle w:val="FootnoteReference"/>
          <w:sz w:val="24"/>
          <w:szCs w:val="24"/>
        </w:rPr>
        <w:footnoteRef/>
      </w:r>
      <w:r w:rsidRPr="00B85942">
        <w:rPr>
          <w:sz w:val="24"/>
          <w:szCs w:val="24"/>
        </w:rPr>
        <w:t xml:space="preserve"> Cụm từ “Hội đồng Quản lý” được sửa đổi thành cụm từ “Hội đồng quản trị” theo quy định tại khoản 2 Điều 1 của Thông tư số 04/2019/TT-NHNN sửa đổi, bổ sung một số điều của Thông tư số 24/2013/TT-NHNN ngày 02 tháng 12 năm 2013 của Thống đốc Ngân hàng Nhà nước Việt Nam quy định về phân loại tài sản có và cam kết ngoại bảng của Ngân hàng Phát triển Việt Nam, có hiệu lực kể từ ngày 15 tháng 5 năm 2019.</w:t>
      </w:r>
    </w:p>
  </w:footnote>
  <w:footnote w:id="5">
    <w:p w:rsidR="00B85942" w:rsidRPr="00B85942" w:rsidRDefault="00B85942" w:rsidP="00B85942">
      <w:pPr>
        <w:pStyle w:val="FootnoteText"/>
        <w:spacing w:before="60" w:after="60"/>
        <w:ind w:firstLine="720"/>
        <w:jc w:val="both"/>
        <w:rPr>
          <w:sz w:val="24"/>
          <w:szCs w:val="24"/>
        </w:rPr>
      </w:pPr>
      <w:r w:rsidRPr="00B85942">
        <w:rPr>
          <w:rStyle w:val="FootnoteReference"/>
          <w:sz w:val="24"/>
          <w:szCs w:val="24"/>
        </w:rPr>
        <w:footnoteRef/>
      </w:r>
      <w:r w:rsidRPr="00B85942">
        <w:rPr>
          <w:sz w:val="24"/>
          <w:szCs w:val="24"/>
        </w:rPr>
        <w:t xml:space="preserve"> Cụm từ “Hội đồng Quản lý” được sửa đổi thành cụm từ “Hội đồng quản trị” theo quy định tại khoản 2 Điều 1 của Thông tư số 04/2019/TT-NHNN sửa đổi, bổ sung một số điều của Thông tư số 24/2013/TT-NHNN ngày 02 tháng 12 năm 2013 của Thống đốc Ngân hàng Nhà nước Việt Nam quy định về phân loại tài sản có và cam kết ngoại bảng của Ngân hàng Phát triển Việt Nam, có hiệu lực kể từ ngày 15 tháng 5 năm 2019.</w:t>
      </w:r>
    </w:p>
  </w:footnote>
  <w:footnote w:id="6">
    <w:p w:rsidR="00B85942" w:rsidRPr="00B85942" w:rsidRDefault="005F7F45" w:rsidP="00B85942">
      <w:pPr>
        <w:pStyle w:val="FootnoteText"/>
        <w:spacing w:before="60" w:after="60"/>
        <w:ind w:firstLine="720"/>
        <w:jc w:val="both"/>
        <w:rPr>
          <w:sz w:val="24"/>
          <w:szCs w:val="24"/>
        </w:rPr>
      </w:pPr>
      <w:r w:rsidRPr="00B85942">
        <w:rPr>
          <w:rStyle w:val="FootnoteReference"/>
          <w:sz w:val="24"/>
          <w:szCs w:val="24"/>
        </w:rPr>
        <w:footnoteRef/>
      </w:r>
      <w:r w:rsidRPr="00B85942">
        <w:rPr>
          <w:sz w:val="24"/>
          <w:szCs w:val="24"/>
        </w:rPr>
        <w:t xml:space="preserve"> Cụm từ “Hội đồng Quản lý” </w:t>
      </w:r>
      <w:r w:rsidR="00B85942" w:rsidRPr="00B85942">
        <w:rPr>
          <w:sz w:val="24"/>
          <w:szCs w:val="24"/>
        </w:rPr>
        <w:t>được sửa đổi thành</w:t>
      </w:r>
      <w:r w:rsidRPr="00B85942">
        <w:rPr>
          <w:sz w:val="24"/>
          <w:szCs w:val="24"/>
        </w:rPr>
        <w:t xml:space="preserve"> cụm từ “Hội đồng quản trị” theo quy định tại</w:t>
      </w:r>
      <w:r w:rsidR="00B85942" w:rsidRPr="00B85942">
        <w:rPr>
          <w:sz w:val="24"/>
          <w:szCs w:val="24"/>
        </w:rPr>
        <w:t xml:space="preserve"> khoản 2 Điều 1 của Thông tư số 04/2019/TT-NHNN sửa đổi, bổ sung một số điều của Thông tư số 24/2013/TT-NHNN ngày 02 tháng 12 năm 2013 của Thống đốc Ngân hàng Nhà nước Việt Nam quy định về phân loại tài sản có và cam kết ngoại bảng của Ngân hàng Phát triển Việt Nam, có hiệu lực kể từ ngày 15 tháng 5 năm 2019. </w:t>
      </w:r>
    </w:p>
    <w:p w:rsidR="005F7F45" w:rsidRDefault="005F7F45">
      <w:pPr>
        <w:pStyle w:val="FootnoteText"/>
      </w:pPr>
    </w:p>
  </w:footnote>
  <w:footnote w:id="7">
    <w:p w:rsidR="00B85942" w:rsidRDefault="00B85942" w:rsidP="00B85942">
      <w:pPr>
        <w:pStyle w:val="FootnoteText"/>
        <w:spacing w:before="60" w:after="60"/>
        <w:ind w:firstLine="720"/>
        <w:jc w:val="both"/>
        <w:rPr>
          <w:sz w:val="24"/>
          <w:szCs w:val="24"/>
        </w:rPr>
      </w:pPr>
      <w:r w:rsidRPr="00B85942">
        <w:rPr>
          <w:rStyle w:val="FootnoteReference"/>
          <w:sz w:val="24"/>
          <w:szCs w:val="24"/>
        </w:rPr>
        <w:footnoteRef/>
      </w:r>
      <w:r w:rsidRPr="00B85942">
        <w:rPr>
          <w:sz w:val="24"/>
          <w:szCs w:val="24"/>
        </w:rPr>
        <w:t xml:space="preserve"> Điều 2 và Điều 3 của Thông tư số 04/2019/TT-NHNN sửa đổi, bổ sung một số điều của Thông tư số 24/2013/TT-NHNN ngày 02 tháng 12 năm 2013 của Thống đốc Ngân hàng Nhà nước Việt Nam quy định về phân loại tài sản có và cam kết ngoại bảng của Ngân hàng Phát triển Việt Nam, có hiệu lực kể từ ngày 15 tháng 5 năm 2019 quy định như sau: </w:t>
      </w:r>
    </w:p>
    <w:p w:rsidR="00B85942" w:rsidRPr="00B85942" w:rsidRDefault="00B85942" w:rsidP="00B85942">
      <w:pPr>
        <w:spacing w:before="60" w:after="60"/>
        <w:ind w:firstLine="720"/>
        <w:jc w:val="both"/>
        <w:rPr>
          <w:b/>
          <w:i/>
        </w:rPr>
      </w:pPr>
      <w:r w:rsidRPr="00B85942">
        <w:rPr>
          <w:i/>
        </w:rPr>
        <w:t>“</w:t>
      </w:r>
      <w:r w:rsidRPr="00B85942">
        <w:rPr>
          <w:b/>
          <w:i/>
        </w:rPr>
        <w:t>Điều 2. Tổ chức thực hiện</w:t>
      </w:r>
    </w:p>
    <w:p w:rsidR="00B85942" w:rsidRPr="00B85942" w:rsidRDefault="00B85942" w:rsidP="00B85942">
      <w:pPr>
        <w:spacing w:before="60" w:after="60"/>
        <w:ind w:firstLine="720"/>
        <w:jc w:val="both"/>
        <w:rPr>
          <w:b/>
          <w:i/>
        </w:rPr>
      </w:pPr>
      <w:r w:rsidRPr="00B85942">
        <w:rPr>
          <w:i/>
          <w:lang w:val="pt-BR"/>
        </w:rPr>
        <w:t>Chánh Văn phòng, Chánh Thanh tra, giám sát ngân hàng, Thủ trưởng các đơn vị thuộc Ngân hàng Nhà nước Việt Nam, Giám đốc Ngân hàng Nhà nước chi nhánh tỉnh, thành phố trực thuộc Trung ươ</w:t>
      </w:r>
      <w:r w:rsidR="005E353A">
        <w:rPr>
          <w:i/>
          <w:lang w:val="pt-BR"/>
        </w:rPr>
        <w:t xml:space="preserve">ng, Chủ tịch Hội đồng quản trị, </w:t>
      </w:r>
      <w:r w:rsidRPr="00B85942">
        <w:rPr>
          <w:i/>
          <w:lang w:val="pt-BR"/>
        </w:rPr>
        <w:t>Tổng Giám đốc</w:t>
      </w:r>
      <w:r w:rsidRPr="00B85942">
        <w:rPr>
          <w:rFonts w:ascii="Cambria" w:hAnsi="Cambria" w:cs="Cambria"/>
          <w:i/>
          <w:lang w:val="vi-VN"/>
        </w:rPr>
        <w:t xml:space="preserve"> </w:t>
      </w:r>
      <w:r w:rsidRPr="00B85942">
        <w:rPr>
          <w:i/>
          <w:lang w:val="pt-BR"/>
        </w:rPr>
        <w:t>Ngân hàng Phát triển Việt Nam chịu trách nhiệm tổ chức thực hiện Thông tư này.</w:t>
      </w:r>
    </w:p>
    <w:p w:rsidR="00B85942" w:rsidRPr="00B85942" w:rsidRDefault="00B85942" w:rsidP="00B85942">
      <w:pPr>
        <w:spacing w:before="60" w:after="60"/>
        <w:ind w:firstLine="720"/>
        <w:jc w:val="both"/>
        <w:rPr>
          <w:b/>
          <w:i/>
        </w:rPr>
      </w:pPr>
      <w:r w:rsidRPr="00B85942">
        <w:rPr>
          <w:b/>
          <w:i/>
        </w:rPr>
        <w:t>Điều 3. Hiệu lực thi hành</w:t>
      </w:r>
    </w:p>
    <w:p w:rsidR="00B85942" w:rsidRPr="00B85942" w:rsidRDefault="00B85942" w:rsidP="00B85942">
      <w:pPr>
        <w:pStyle w:val="FootnoteText"/>
        <w:spacing w:before="60" w:after="60"/>
        <w:ind w:firstLine="720"/>
        <w:jc w:val="both"/>
        <w:rPr>
          <w:sz w:val="24"/>
          <w:szCs w:val="24"/>
        </w:rPr>
      </w:pPr>
      <w:r w:rsidRPr="00B85942">
        <w:rPr>
          <w:i/>
          <w:sz w:val="24"/>
          <w:szCs w:val="24"/>
        </w:rPr>
        <w:t>Thông tư này có hiệu lực thi hành kể từ ngày 15 tháng 5 năm 2019./.”</w:t>
      </w:r>
    </w:p>
  </w:footnote>
  <w:footnote w:id="8">
    <w:p w:rsidR="00B85942" w:rsidRDefault="00B85942" w:rsidP="00B85942">
      <w:pPr>
        <w:pStyle w:val="FootnoteText"/>
        <w:ind w:firstLine="720"/>
        <w:jc w:val="both"/>
      </w:pPr>
      <w:r>
        <w:rPr>
          <w:rStyle w:val="FootnoteReference"/>
        </w:rPr>
        <w:footnoteRef/>
      </w:r>
      <w:r>
        <w:t xml:space="preserve"> </w:t>
      </w:r>
      <w:r w:rsidRPr="00B85942">
        <w:rPr>
          <w:sz w:val="24"/>
          <w:szCs w:val="24"/>
        </w:rPr>
        <w:t>Cụm từ “Hội đồng Quản lý” được sửa đổi thành cụm từ “Hội đồng quản trị” theo quy định tại khoản 2 Điều 1 của Thông tư số 04/2019/TT-NHNN sửa đổi, bổ sung một số điều của Thông tư số 24/2013/TT-NHNN ngày 02 tháng 12 năm 2013 của Thống đốc Ngân hàng Nhà nước Việt Nam quy định về phân loại tài sản có và cam kết ngoại bảng của Ngân hàng Phát triển Việt Nam, có hiệu lực kể từ ngày 15 tháng 5 năm 2019.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792" w:rsidRDefault="00D7011B">
    <w:pPr>
      <w:pStyle w:val="Header"/>
      <w:jc w:val="center"/>
    </w:pPr>
    <w:fldSimple w:instr=" PAGE   \* MERGEFORMAT ">
      <w:r w:rsidR="00FC3669">
        <w:rPr>
          <w:noProof/>
        </w:rPr>
        <w:t>10</w:t>
      </w:r>
    </w:fldSimple>
  </w:p>
  <w:p w:rsidR="00300792" w:rsidRDefault="003007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16304"/>
      <w:docPartObj>
        <w:docPartGallery w:val="Page Numbers (Top of Page)"/>
        <w:docPartUnique/>
      </w:docPartObj>
    </w:sdtPr>
    <w:sdtContent>
      <w:p w:rsidR="0042649C" w:rsidRDefault="00D7011B">
        <w:pPr>
          <w:pStyle w:val="Header"/>
          <w:jc w:val="center"/>
        </w:pPr>
        <w:fldSimple w:instr=" PAGE   \* MERGEFORMAT ">
          <w:r w:rsidR="00FC3669">
            <w:rPr>
              <w:noProof/>
            </w:rPr>
            <w:t>11</w:t>
          </w:r>
        </w:fldSimple>
      </w:p>
    </w:sdtContent>
  </w:sdt>
  <w:p w:rsidR="00CD431C" w:rsidRDefault="00CD43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D55A55"/>
    <w:multiLevelType w:val="hybridMultilevel"/>
    <w:tmpl w:val="C91A9920"/>
    <w:lvl w:ilvl="0" w:tplc="F49A5A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3D528A"/>
    <w:rsid w:val="000C58CA"/>
    <w:rsid w:val="0011484C"/>
    <w:rsid w:val="00191D46"/>
    <w:rsid w:val="001A3757"/>
    <w:rsid w:val="001F16B7"/>
    <w:rsid w:val="00300792"/>
    <w:rsid w:val="00352B57"/>
    <w:rsid w:val="003639BA"/>
    <w:rsid w:val="003D528A"/>
    <w:rsid w:val="0042649C"/>
    <w:rsid w:val="005E353A"/>
    <w:rsid w:val="005F7F45"/>
    <w:rsid w:val="0066710C"/>
    <w:rsid w:val="007E3DD8"/>
    <w:rsid w:val="008B46AC"/>
    <w:rsid w:val="009F6946"/>
    <w:rsid w:val="00B85942"/>
    <w:rsid w:val="00B90AC4"/>
    <w:rsid w:val="00CD431C"/>
    <w:rsid w:val="00CF6259"/>
    <w:rsid w:val="00D51C48"/>
    <w:rsid w:val="00D7011B"/>
    <w:rsid w:val="00E22D5E"/>
    <w:rsid w:val="00E63207"/>
    <w:rsid w:val="00EA6B19"/>
    <w:rsid w:val="00FC3669"/>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122"/>
    <o:shapelayout v:ext="edit">
      <o:idmap v:ext="edit" data="1"/>
      <o:rules v:ext="edit">
        <o:r id="V:Rule2"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Indent 3"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D5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22D5E"/>
    <w:pPr>
      <w:spacing w:before="100" w:beforeAutospacing="1" w:after="100" w:afterAutospacing="1"/>
    </w:pPr>
  </w:style>
  <w:style w:type="character" w:customStyle="1" w:styleId="apple-style-span">
    <w:name w:val="apple-style-span"/>
    <w:basedOn w:val="DefaultParagraphFont"/>
    <w:rsid w:val="003D528A"/>
  </w:style>
  <w:style w:type="paragraph" w:styleId="Header">
    <w:name w:val="header"/>
    <w:basedOn w:val="Normal"/>
    <w:link w:val="HeaderChar"/>
    <w:uiPriority w:val="99"/>
    <w:rsid w:val="00300792"/>
    <w:pPr>
      <w:tabs>
        <w:tab w:val="center" w:pos="4513"/>
        <w:tab w:val="right" w:pos="9026"/>
      </w:tabs>
    </w:pPr>
  </w:style>
  <w:style w:type="character" w:customStyle="1" w:styleId="HeaderChar">
    <w:name w:val="Header Char"/>
    <w:basedOn w:val="DefaultParagraphFont"/>
    <w:link w:val="Header"/>
    <w:uiPriority w:val="99"/>
    <w:rsid w:val="00300792"/>
    <w:rPr>
      <w:sz w:val="24"/>
      <w:szCs w:val="24"/>
      <w:lang w:val="en-US" w:eastAsia="en-US"/>
    </w:rPr>
  </w:style>
  <w:style w:type="paragraph" w:styleId="Footer">
    <w:name w:val="footer"/>
    <w:basedOn w:val="Normal"/>
    <w:link w:val="FooterChar"/>
    <w:uiPriority w:val="99"/>
    <w:rsid w:val="00300792"/>
    <w:pPr>
      <w:tabs>
        <w:tab w:val="center" w:pos="4513"/>
        <w:tab w:val="right" w:pos="9026"/>
      </w:tabs>
    </w:pPr>
  </w:style>
  <w:style w:type="character" w:customStyle="1" w:styleId="FooterChar">
    <w:name w:val="Footer Char"/>
    <w:basedOn w:val="DefaultParagraphFont"/>
    <w:link w:val="Footer"/>
    <w:uiPriority w:val="99"/>
    <w:rsid w:val="00300792"/>
    <w:rPr>
      <w:sz w:val="24"/>
      <w:szCs w:val="24"/>
      <w:lang w:val="en-US" w:eastAsia="en-US"/>
    </w:rPr>
  </w:style>
  <w:style w:type="paragraph" w:styleId="FootnoteText">
    <w:name w:val="footnote text"/>
    <w:basedOn w:val="Normal"/>
    <w:link w:val="FootnoteTextChar"/>
    <w:rsid w:val="003639BA"/>
    <w:rPr>
      <w:sz w:val="20"/>
      <w:szCs w:val="20"/>
    </w:rPr>
  </w:style>
  <w:style w:type="character" w:customStyle="1" w:styleId="FootnoteTextChar">
    <w:name w:val="Footnote Text Char"/>
    <w:basedOn w:val="DefaultParagraphFont"/>
    <w:link w:val="FootnoteText"/>
    <w:rsid w:val="003639BA"/>
    <w:rPr>
      <w:lang w:val="en-US" w:eastAsia="en-US"/>
    </w:rPr>
  </w:style>
  <w:style w:type="character" w:styleId="FootnoteReference">
    <w:name w:val="footnote reference"/>
    <w:basedOn w:val="DefaultParagraphFont"/>
    <w:rsid w:val="003639BA"/>
    <w:rPr>
      <w:vertAlign w:val="superscript"/>
    </w:rPr>
  </w:style>
  <w:style w:type="paragraph" w:styleId="BodyText">
    <w:name w:val="Body Text"/>
    <w:basedOn w:val="Normal"/>
    <w:link w:val="BodyTextChar"/>
    <w:uiPriority w:val="99"/>
    <w:unhideWhenUsed/>
    <w:rsid w:val="005F7F45"/>
    <w:pPr>
      <w:spacing w:after="120"/>
    </w:pPr>
    <w:rPr>
      <w:sz w:val="28"/>
      <w:szCs w:val="28"/>
    </w:rPr>
  </w:style>
  <w:style w:type="character" w:customStyle="1" w:styleId="BodyTextChar">
    <w:name w:val="Body Text Char"/>
    <w:basedOn w:val="DefaultParagraphFont"/>
    <w:link w:val="BodyText"/>
    <w:uiPriority w:val="99"/>
    <w:rsid w:val="005F7F45"/>
    <w:rPr>
      <w:sz w:val="28"/>
      <w:szCs w:val="28"/>
      <w:lang w:val="en-US" w:eastAsia="en-US"/>
    </w:rPr>
  </w:style>
  <w:style w:type="paragraph" w:styleId="BodyTextIndent3">
    <w:name w:val="Body Text Indent 3"/>
    <w:basedOn w:val="Normal"/>
    <w:link w:val="BodyTextIndent3Char"/>
    <w:uiPriority w:val="99"/>
    <w:unhideWhenUsed/>
    <w:rsid w:val="00B85942"/>
    <w:pPr>
      <w:spacing w:after="120"/>
      <w:ind w:left="283"/>
    </w:pPr>
    <w:rPr>
      <w:sz w:val="16"/>
      <w:szCs w:val="16"/>
    </w:rPr>
  </w:style>
  <w:style w:type="character" w:customStyle="1" w:styleId="BodyTextIndent3Char">
    <w:name w:val="Body Text Indent 3 Char"/>
    <w:basedOn w:val="DefaultParagraphFont"/>
    <w:link w:val="BodyTextIndent3"/>
    <w:uiPriority w:val="99"/>
    <w:rsid w:val="00B85942"/>
    <w:rPr>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900284616">
      <w:marLeft w:val="0"/>
      <w:marRight w:val="0"/>
      <w:marTop w:val="0"/>
      <w:marBottom w:val="0"/>
      <w:divBdr>
        <w:top w:val="none" w:sz="0" w:space="0" w:color="auto"/>
        <w:left w:val="none" w:sz="0" w:space="0" w:color="auto"/>
        <w:bottom w:val="none" w:sz="0" w:space="0" w:color="auto"/>
        <w:right w:val="none" w:sz="0" w:space="0" w:color="auto"/>
      </w:divBdr>
      <w:divsChild>
        <w:div w:id="211825841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0B6BEF-9429-440C-ACD1-66872D71545A}"/>
</file>

<file path=customXml/itemProps2.xml><?xml version="1.0" encoding="utf-8"?>
<ds:datastoreItem xmlns:ds="http://schemas.openxmlformats.org/officeDocument/2006/customXml" ds:itemID="{50CB757E-18D6-4384-998C-43D046D80ECA}"/>
</file>

<file path=customXml/itemProps3.xml><?xml version="1.0" encoding="utf-8"?>
<ds:datastoreItem xmlns:ds="http://schemas.openxmlformats.org/officeDocument/2006/customXml" ds:itemID="{6B4CEF2B-8DD6-4B63-A614-B858DD5C5F3F}"/>
</file>

<file path=customXml/itemProps4.xml><?xml version="1.0" encoding="utf-8"?>
<ds:datastoreItem xmlns:ds="http://schemas.openxmlformats.org/officeDocument/2006/customXml" ds:itemID="{4737AB2C-DE2D-4994-A7DD-F4CF2CA814E4}"/>
</file>

<file path=docProps/app.xml><?xml version="1.0" encoding="utf-8"?>
<Properties xmlns="http://schemas.openxmlformats.org/officeDocument/2006/extended-properties" xmlns:vt="http://schemas.openxmlformats.org/officeDocument/2006/docPropsVTypes">
  <Template>Normal</Template>
  <TotalTime>2</TotalTime>
  <Pages>12</Pages>
  <Words>2530</Words>
  <Characters>14425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Microsoft</Company>
  <LinksUpToDate>false</LinksUpToDate>
  <CharactersWithSpaces>16922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Thanh An</dc:creator>
  <cp:lastModifiedBy>ha.trinhviet</cp:lastModifiedBy>
  <cp:revision>2</cp:revision>
  <cp:lastPrinted>2019-04-03T09:32:00Z</cp:lastPrinted>
  <dcterms:created xsi:type="dcterms:W3CDTF">2019-08-01T02:46:00Z</dcterms:created>
  <dcterms:modified xsi:type="dcterms:W3CDTF">2019-08-01T02:46:00Z</dcterms:modified>
</cp:coreProperties>
</file>