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FF" w:rsidRPr="00E951B2" w:rsidRDefault="00986DFF" w:rsidP="00E951B2">
      <w:pPr>
        <w:spacing w:before="120"/>
        <w:rPr>
          <w:sz w:val="28"/>
        </w:rPr>
      </w:pPr>
      <w:r w:rsidRPr="00E951B2">
        <w:rPr>
          <w:sz w:val="28"/>
        </w:rPr>
        <w:t> </w:t>
      </w:r>
    </w:p>
    <w:p w:rsidR="00EA6EA7" w:rsidRPr="00EA6EA7" w:rsidRDefault="00EA6EA7" w:rsidP="00EA6EA7">
      <w:pPr>
        <w:tabs>
          <w:tab w:val="left" w:pos="4949"/>
        </w:tabs>
        <w:ind w:left="-2739" w:firstLine="2739"/>
        <w:jc w:val="center"/>
        <w:rPr>
          <w:b/>
          <w:sz w:val="28"/>
          <w:szCs w:val="28"/>
        </w:rPr>
      </w:pPr>
      <w:r>
        <w:rPr>
          <w:b/>
        </w:rPr>
        <w:t xml:space="preserve">   </w:t>
      </w:r>
      <w:r w:rsidRPr="00B81D1F">
        <w:rPr>
          <w:b/>
        </w:rPr>
        <w:t xml:space="preserve"> </w:t>
      </w:r>
      <w:r>
        <w:rPr>
          <w:b/>
        </w:rPr>
        <w:t xml:space="preserve">     </w:t>
      </w:r>
      <w:r w:rsidR="00510D2E">
        <w:rPr>
          <w:b/>
        </w:rPr>
        <w:t xml:space="preserve">                                         </w:t>
      </w:r>
      <w:r w:rsidRPr="00EA6EA7">
        <w:rPr>
          <w:b/>
          <w:sz w:val="28"/>
          <w:szCs w:val="28"/>
        </w:rPr>
        <w:t>CỘNG HOÀ XÃ HỘI CHỦ NGHĨA VIỆT</w:t>
      </w:r>
      <w:r w:rsidR="00510D2E">
        <w:rPr>
          <w:b/>
          <w:sz w:val="28"/>
          <w:szCs w:val="28"/>
        </w:rPr>
        <w:t xml:space="preserve"> </w:t>
      </w:r>
      <w:r w:rsidRPr="00EA6EA7">
        <w:rPr>
          <w:b/>
          <w:sz w:val="28"/>
          <w:szCs w:val="28"/>
        </w:rPr>
        <w:t>NAM</w:t>
      </w:r>
    </w:p>
    <w:p w:rsidR="00EA6EA7" w:rsidRPr="00EA6EA7" w:rsidRDefault="00EA6EA7" w:rsidP="00EA6EA7">
      <w:pPr>
        <w:spacing w:before="120" w:after="280" w:afterAutospacing="1"/>
        <w:jc w:val="center"/>
        <w:rPr>
          <w:b/>
          <w:bCs/>
          <w:sz w:val="28"/>
          <w:szCs w:val="28"/>
        </w:rPr>
      </w:pPr>
      <w:r w:rsidRPr="00EA6EA7">
        <w:rPr>
          <w:b/>
          <w:bCs/>
          <w:noProof/>
          <w:sz w:val="28"/>
          <w:szCs w:val="28"/>
        </w:rPr>
        <w:pict>
          <v:line id="_x0000_s1036" style="position:absolute;left:0;text-align:left;z-index:251657216" from="248.25pt,25.25pt" to="374.25pt,25.25pt"/>
        </w:pict>
      </w:r>
      <w:r w:rsidRPr="00EA6EA7">
        <w:rPr>
          <w:b/>
          <w:sz w:val="28"/>
          <w:szCs w:val="28"/>
        </w:rPr>
        <w:t xml:space="preserve">              </w:t>
      </w:r>
      <w:r w:rsidR="00510D2E">
        <w:rPr>
          <w:b/>
          <w:sz w:val="28"/>
          <w:szCs w:val="28"/>
        </w:rPr>
        <w:t xml:space="preserve">                              </w:t>
      </w:r>
      <w:r w:rsidRPr="00EA6EA7">
        <w:rPr>
          <w:b/>
          <w:sz w:val="28"/>
          <w:szCs w:val="28"/>
        </w:rPr>
        <w:t>Độc lập - Tự do - Hạnh phúc</w:t>
      </w:r>
      <w:r w:rsidRPr="00EA6EA7">
        <w:rPr>
          <w:b/>
          <w:bCs/>
          <w:sz w:val="28"/>
          <w:szCs w:val="28"/>
        </w:rPr>
        <w:t xml:space="preserve"> </w:t>
      </w:r>
    </w:p>
    <w:p w:rsidR="00510D2E" w:rsidRDefault="00510D2E" w:rsidP="00510D2E">
      <w:pPr>
        <w:tabs>
          <w:tab w:val="left" w:pos="3705"/>
        </w:tabs>
        <w:spacing w:before="120" w:after="280" w:afterAutospacing="1"/>
        <w:rPr>
          <w:b/>
          <w:bCs/>
          <w:sz w:val="28"/>
        </w:rPr>
      </w:pPr>
      <w:r>
        <w:rPr>
          <w:b/>
          <w:bCs/>
          <w:sz w:val="28"/>
        </w:rPr>
        <w:tab/>
      </w:r>
    </w:p>
    <w:p w:rsidR="00EA6EA7" w:rsidRDefault="00510D2E" w:rsidP="00510D2E">
      <w:pPr>
        <w:tabs>
          <w:tab w:val="left" w:pos="3705"/>
        </w:tabs>
        <w:spacing w:before="120" w:after="280" w:afterAutospacing="1"/>
        <w:rPr>
          <w:b/>
          <w:bCs/>
          <w:sz w:val="28"/>
        </w:rPr>
      </w:pPr>
      <w:r>
        <w:rPr>
          <w:b/>
          <w:bCs/>
          <w:sz w:val="28"/>
        </w:rPr>
        <w:tab/>
        <w:t>THÔNG TƯ</w:t>
      </w:r>
    </w:p>
    <w:p w:rsidR="00E951B2" w:rsidRDefault="00986DFF" w:rsidP="00E951B2">
      <w:pPr>
        <w:jc w:val="center"/>
        <w:rPr>
          <w:b/>
          <w:sz w:val="28"/>
        </w:rPr>
      </w:pPr>
      <w:r w:rsidRPr="00E951B2">
        <w:rPr>
          <w:b/>
          <w:sz w:val="28"/>
        </w:rPr>
        <w:t>H</w:t>
      </w:r>
      <w:r w:rsidR="00E951B2" w:rsidRPr="00E951B2">
        <w:rPr>
          <w:b/>
          <w:sz w:val="28"/>
        </w:rPr>
        <w:t>ướng</w:t>
      </w:r>
      <w:r w:rsidRPr="00E951B2">
        <w:rPr>
          <w:b/>
          <w:sz w:val="28"/>
        </w:rPr>
        <w:t xml:space="preserve"> </w:t>
      </w:r>
      <w:r w:rsidR="00E951B2" w:rsidRPr="00E951B2">
        <w:rPr>
          <w:b/>
          <w:sz w:val="28"/>
        </w:rPr>
        <w:t>dẫn</w:t>
      </w:r>
      <w:r w:rsidRPr="00E951B2">
        <w:rPr>
          <w:b/>
          <w:sz w:val="28"/>
        </w:rPr>
        <w:t xml:space="preserve"> </w:t>
      </w:r>
      <w:r w:rsidR="00E951B2" w:rsidRPr="00E951B2">
        <w:rPr>
          <w:b/>
          <w:sz w:val="28"/>
        </w:rPr>
        <w:t>thực</w:t>
      </w:r>
      <w:r w:rsidRPr="00E951B2">
        <w:rPr>
          <w:b/>
          <w:sz w:val="28"/>
        </w:rPr>
        <w:t xml:space="preserve"> </w:t>
      </w:r>
      <w:r w:rsidR="00E951B2" w:rsidRPr="00E951B2">
        <w:rPr>
          <w:b/>
          <w:sz w:val="28"/>
        </w:rPr>
        <w:t>hiện</w:t>
      </w:r>
      <w:r w:rsidRPr="00E951B2">
        <w:rPr>
          <w:b/>
          <w:sz w:val="28"/>
        </w:rPr>
        <w:t xml:space="preserve"> </w:t>
      </w:r>
      <w:r w:rsidR="00E951B2" w:rsidRPr="00E951B2">
        <w:rPr>
          <w:b/>
          <w:sz w:val="28"/>
        </w:rPr>
        <w:t>một</w:t>
      </w:r>
      <w:r w:rsidRPr="00E951B2">
        <w:rPr>
          <w:b/>
          <w:sz w:val="28"/>
        </w:rPr>
        <w:t xml:space="preserve"> </w:t>
      </w:r>
      <w:r w:rsidR="00E951B2" w:rsidRPr="00E951B2">
        <w:rPr>
          <w:b/>
          <w:sz w:val="28"/>
        </w:rPr>
        <w:t>số</w:t>
      </w:r>
      <w:r w:rsidRPr="00E951B2">
        <w:rPr>
          <w:b/>
          <w:sz w:val="28"/>
        </w:rPr>
        <w:t xml:space="preserve"> </w:t>
      </w:r>
      <w:r w:rsidR="00E951B2" w:rsidRPr="00E951B2">
        <w:rPr>
          <w:b/>
          <w:sz w:val="28"/>
        </w:rPr>
        <w:t>nội</w:t>
      </w:r>
      <w:r w:rsidRPr="00E951B2">
        <w:rPr>
          <w:b/>
          <w:sz w:val="28"/>
        </w:rPr>
        <w:t xml:space="preserve"> </w:t>
      </w:r>
      <w:r w:rsidR="00E951B2" w:rsidRPr="00E951B2">
        <w:rPr>
          <w:b/>
          <w:sz w:val="28"/>
        </w:rPr>
        <w:t>dung</w:t>
      </w:r>
      <w:r w:rsidRPr="00E951B2">
        <w:rPr>
          <w:b/>
          <w:sz w:val="28"/>
        </w:rPr>
        <w:t xml:space="preserve"> </w:t>
      </w:r>
      <w:r w:rsidR="00E951B2" w:rsidRPr="00E951B2">
        <w:rPr>
          <w:b/>
          <w:sz w:val="28"/>
        </w:rPr>
        <w:t>của</w:t>
      </w:r>
      <w:r w:rsidRPr="00E951B2">
        <w:rPr>
          <w:b/>
          <w:sz w:val="28"/>
        </w:rPr>
        <w:t xml:space="preserve"> </w:t>
      </w:r>
      <w:r w:rsidR="00E951B2">
        <w:rPr>
          <w:b/>
          <w:sz w:val="28"/>
        </w:rPr>
        <w:t>N</w:t>
      </w:r>
      <w:r w:rsidR="00E951B2" w:rsidRPr="00E951B2">
        <w:rPr>
          <w:b/>
          <w:sz w:val="28"/>
        </w:rPr>
        <w:t>ghị</w:t>
      </w:r>
      <w:r w:rsidRPr="00E951B2">
        <w:rPr>
          <w:b/>
          <w:sz w:val="28"/>
        </w:rPr>
        <w:t xml:space="preserve"> </w:t>
      </w:r>
      <w:r w:rsidR="00E951B2" w:rsidRPr="00E951B2">
        <w:rPr>
          <w:b/>
          <w:sz w:val="28"/>
        </w:rPr>
        <w:t>định</w:t>
      </w:r>
      <w:r w:rsidRPr="00E951B2">
        <w:rPr>
          <w:b/>
          <w:sz w:val="28"/>
        </w:rPr>
        <w:t xml:space="preserve"> </w:t>
      </w:r>
      <w:r w:rsidR="00E951B2" w:rsidRPr="00E951B2">
        <w:rPr>
          <w:b/>
          <w:sz w:val="28"/>
        </w:rPr>
        <w:t>số</w:t>
      </w:r>
      <w:r w:rsidRPr="00E951B2">
        <w:rPr>
          <w:b/>
          <w:sz w:val="28"/>
        </w:rPr>
        <w:t xml:space="preserve"> 55/2015/NĐ-CP</w:t>
      </w:r>
    </w:p>
    <w:p w:rsidR="00E951B2" w:rsidRDefault="00E951B2" w:rsidP="00E951B2">
      <w:pPr>
        <w:jc w:val="center"/>
        <w:rPr>
          <w:b/>
          <w:sz w:val="28"/>
        </w:rPr>
      </w:pPr>
      <w:r w:rsidRPr="00E951B2">
        <w:rPr>
          <w:b/>
          <w:sz w:val="28"/>
        </w:rPr>
        <w:t>ngày</w:t>
      </w:r>
      <w:r w:rsidR="00986DFF" w:rsidRPr="00E951B2">
        <w:rPr>
          <w:b/>
          <w:sz w:val="28"/>
        </w:rPr>
        <w:t xml:space="preserve"> 09 </w:t>
      </w:r>
      <w:r w:rsidRPr="00E951B2">
        <w:rPr>
          <w:b/>
          <w:sz w:val="28"/>
        </w:rPr>
        <w:t>tháng</w:t>
      </w:r>
      <w:r w:rsidR="00986DFF" w:rsidRPr="00E951B2">
        <w:rPr>
          <w:b/>
          <w:sz w:val="28"/>
        </w:rPr>
        <w:t xml:space="preserve"> 6 </w:t>
      </w:r>
      <w:r w:rsidRPr="00E951B2">
        <w:rPr>
          <w:b/>
          <w:sz w:val="28"/>
        </w:rPr>
        <w:t>năm</w:t>
      </w:r>
      <w:r w:rsidR="00986DFF" w:rsidRPr="00E951B2">
        <w:rPr>
          <w:b/>
          <w:sz w:val="28"/>
        </w:rPr>
        <w:t xml:space="preserve"> 2015 </w:t>
      </w:r>
      <w:r w:rsidRPr="00E951B2">
        <w:rPr>
          <w:b/>
          <w:sz w:val="28"/>
        </w:rPr>
        <w:t>của</w:t>
      </w:r>
      <w:r w:rsidR="00986DFF" w:rsidRPr="00E951B2">
        <w:rPr>
          <w:b/>
          <w:sz w:val="28"/>
        </w:rPr>
        <w:t xml:space="preserve"> </w:t>
      </w:r>
      <w:r>
        <w:rPr>
          <w:b/>
          <w:sz w:val="28"/>
        </w:rPr>
        <w:t>C</w:t>
      </w:r>
      <w:r w:rsidRPr="00E951B2">
        <w:rPr>
          <w:b/>
          <w:sz w:val="28"/>
        </w:rPr>
        <w:t>hính</w:t>
      </w:r>
      <w:r w:rsidR="00986DFF" w:rsidRPr="00E951B2">
        <w:rPr>
          <w:b/>
          <w:sz w:val="28"/>
        </w:rPr>
        <w:t xml:space="preserve"> </w:t>
      </w:r>
      <w:r w:rsidRPr="00E951B2">
        <w:rPr>
          <w:b/>
          <w:sz w:val="28"/>
        </w:rPr>
        <w:t>phủ</w:t>
      </w:r>
      <w:r w:rsidR="00986DFF" w:rsidRPr="00E951B2">
        <w:rPr>
          <w:b/>
          <w:sz w:val="28"/>
        </w:rPr>
        <w:t xml:space="preserve"> </w:t>
      </w:r>
      <w:r w:rsidRPr="00E951B2">
        <w:rPr>
          <w:b/>
          <w:sz w:val="28"/>
        </w:rPr>
        <w:t>về</w:t>
      </w:r>
      <w:r w:rsidR="00986DFF" w:rsidRPr="00E951B2">
        <w:rPr>
          <w:b/>
          <w:sz w:val="28"/>
        </w:rPr>
        <w:t xml:space="preserve"> </w:t>
      </w:r>
      <w:r w:rsidRPr="00E951B2">
        <w:rPr>
          <w:b/>
          <w:sz w:val="28"/>
        </w:rPr>
        <w:t>chính</w:t>
      </w:r>
      <w:r w:rsidR="00986DFF" w:rsidRPr="00E951B2">
        <w:rPr>
          <w:b/>
          <w:sz w:val="28"/>
        </w:rPr>
        <w:t xml:space="preserve"> </w:t>
      </w:r>
      <w:r w:rsidRPr="00E951B2">
        <w:rPr>
          <w:b/>
          <w:sz w:val="28"/>
        </w:rPr>
        <w:t>sách</w:t>
      </w:r>
      <w:r w:rsidR="00986DFF" w:rsidRPr="00E951B2">
        <w:rPr>
          <w:b/>
          <w:sz w:val="28"/>
        </w:rPr>
        <w:t xml:space="preserve"> </w:t>
      </w:r>
      <w:r w:rsidRPr="00E951B2">
        <w:rPr>
          <w:b/>
          <w:sz w:val="28"/>
        </w:rPr>
        <w:t>tín</w:t>
      </w:r>
      <w:r w:rsidR="00986DFF" w:rsidRPr="00E951B2">
        <w:rPr>
          <w:b/>
          <w:sz w:val="28"/>
        </w:rPr>
        <w:t xml:space="preserve"> </w:t>
      </w:r>
      <w:r w:rsidRPr="00E951B2">
        <w:rPr>
          <w:b/>
          <w:sz w:val="28"/>
        </w:rPr>
        <w:t>dụng</w:t>
      </w:r>
    </w:p>
    <w:p w:rsidR="00986DFF" w:rsidRDefault="00E951B2" w:rsidP="00E951B2">
      <w:pPr>
        <w:jc w:val="center"/>
        <w:rPr>
          <w:b/>
          <w:sz w:val="28"/>
        </w:rPr>
      </w:pPr>
      <w:r w:rsidRPr="00E951B2">
        <w:rPr>
          <w:b/>
          <w:sz w:val="28"/>
        </w:rPr>
        <w:t>phục</w:t>
      </w:r>
      <w:r w:rsidR="00986DFF" w:rsidRPr="00E951B2">
        <w:rPr>
          <w:b/>
          <w:sz w:val="28"/>
        </w:rPr>
        <w:t xml:space="preserve"> </w:t>
      </w:r>
      <w:r w:rsidRPr="00E951B2">
        <w:rPr>
          <w:b/>
          <w:sz w:val="28"/>
        </w:rPr>
        <w:t>vụ</w:t>
      </w:r>
      <w:r w:rsidR="00986DFF" w:rsidRPr="00E951B2">
        <w:rPr>
          <w:b/>
          <w:sz w:val="28"/>
        </w:rPr>
        <w:t xml:space="preserve"> </w:t>
      </w:r>
      <w:r w:rsidRPr="00E951B2">
        <w:rPr>
          <w:b/>
          <w:sz w:val="28"/>
        </w:rPr>
        <w:t>phát</w:t>
      </w:r>
      <w:r w:rsidR="00986DFF" w:rsidRPr="00E951B2">
        <w:rPr>
          <w:b/>
          <w:sz w:val="28"/>
        </w:rPr>
        <w:t xml:space="preserve"> </w:t>
      </w:r>
      <w:r w:rsidRPr="00E951B2">
        <w:rPr>
          <w:b/>
          <w:sz w:val="28"/>
        </w:rPr>
        <w:t>triển</w:t>
      </w:r>
      <w:r w:rsidR="00986DFF" w:rsidRPr="00E951B2">
        <w:rPr>
          <w:b/>
          <w:sz w:val="28"/>
        </w:rPr>
        <w:t xml:space="preserve"> </w:t>
      </w:r>
      <w:r w:rsidRPr="00E951B2">
        <w:rPr>
          <w:b/>
          <w:sz w:val="28"/>
        </w:rPr>
        <w:t>nông</w:t>
      </w:r>
      <w:r w:rsidR="00986DFF" w:rsidRPr="00E951B2">
        <w:rPr>
          <w:b/>
          <w:sz w:val="28"/>
        </w:rPr>
        <w:t xml:space="preserve"> </w:t>
      </w:r>
      <w:r w:rsidRPr="00E951B2">
        <w:rPr>
          <w:b/>
          <w:sz w:val="28"/>
        </w:rPr>
        <w:t>nghiệp</w:t>
      </w:r>
      <w:r w:rsidR="00986DFF" w:rsidRPr="00E951B2">
        <w:rPr>
          <w:b/>
          <w:sz w:val="28"/>
        </w:rPr>
        <w:t xml:space="preserve">, </w:t>
      </w:r>
      <w:r w:rsidRPr="00E951B2">
        <w:rPr>
          <w:b/>
          <w:sz w:val="28"/>
        </w:rPr>
        <w:t>nông</w:t>
      </w:r>
      <w:r w:rsidR="00986DFF" w:rsidRPr="00E951B2">
        <w:rPr>
          <w:b/>
          <w:sz w:val="28"/>
        </w:rPr>
        <w:t xml:space="preserve"> </w:t>
      </w:r>
      <w:r w:rsidRPr="00E951B2">
        <w:rPr>
          <w:b/>
          <w:sz w:val="28"/>
        </w:rPr>
        <w:t>thôn</w:t>
      </w:r>
    </w:p>
    <w:p w:rsidR="00E951B2" w:rsidRPr="00E951B2" w:rsidRDefault="00E951B2" w:rsidP="00E951B2">
      <w:pPr>
        <w:jc w:val="center"/>
        <w:rPr>
          <w:b/>
          <w:sz w:val="28"/>
        </w:rPr>
      </w:pPr>
      <w:r>
        <w:rPr>
          <w:b/>
          <w:noProof/>
          <w:sz w:val="28"/>
        </w:rPr>
        <w:pict>
          <v:line id="_x0000_s1034" style="position:absolute;left:0;text-align:left;z-index:251656192" from="171.75pt,9.1pt" to="297.75pt,9.1pt"/>
        </w:pict>
      </w:r>
    </w:p>
    <w:p w:rsidR="00D96D69" w:rsidRPr="00D96D69" w:rsidRDefault="00D96D69" w:rsidP="00D96D69">
      <w:pPr>
        <w:spacing w:before="120" w:after="120" w:line="320" w:lineRule="exact"/>
        <w:ind w:firstLine="567"/>
        <w:jc w:val="both"/>
        <w:rPr>
          <w:iCs/>
          <w:sz w:val="28"/>
        </w:rPr>
      </w:pPr>
      <w:r w:rsidRPr="00D96D69">
        <w:rPr>
          <w:iCs/>
          <w:sz w:val="28"/>
        </w:rPr>
        <w:t xml:space="preserve">Thông tư số </w:t>
      </w:r>
      <w:r w:rsidR="00802BCE">
        <w:rPr>
          <w:iCs/>
          <w:sz w:val="28"/>
        </w:rPr>
        <w:t>10/2015</w:t>
      </w:r>
      <w:r w:rsidRPr="00D96D69">
        <w:rPr>
          <w:iCs/>
          <w:sz w:val="28"/>
        </w:rPr>
        <w:t>/TT-NHNN ngày 22/7/2015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 có hiệu lực kể từ ngày 25 tháng 7 năm 2015, được sửa đổi, bổ sung bởi:</w:t>
      </w:r>
    </w:p>
    <w:p w:rsidR="00D96D69" w:rsidRPr="00D96D69" w:rsidRDefault="00D96D69" w:rsidP="00E951B2">
      <w:pPr>
        <w:spacing w:before="120" w:after="120" w:line="320" w:lineRule="exact"/>
        <w:ind w:firstLine="567"/>
        <w:jc w:val="both"/>
        <w:rPr>
          <w:iCs/>
          <w:sz w:val="28"/>
          <w:szCs w:val="28"/>
        </w:rPr>
      </w:pPr>
      <w:r w:rsidRPr="00D96D69">
        <w:rPr>
          <w:iCs/>
          <w:sz w:val="28"/>
        </w:rPr>
        <w:t xml:space="preserve">Thông tư số 25/2018/TT-NHNN </w:t>
      </w:r>
      <w:r w:rsidR="00802BCE">
        <w:rPr>
          <w:iCs/>
          <w:sz w:val="28"/>
        </w:rPr>
        <w:t xml:space="preserve">của Thống đốc Ngân hàng Nhà nước Việt Nam </w:t>
      </w:r>
      <w:r w:rsidRPr="00D96D69">
        <w:rPr>
          <w:iCs/>
          <w:sz w:val="28"/>
        </w:rPr>
        <w:t>sửa đổi, bổ sung một số điều của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Pr>
          <w:iCs/>
          <w:sz w:val="28"/>
        </w:rPr>
        <w:t xml:space="preserve">, </w:t>
      </w:r>
      <w:r w:rsidRPr="00D96D69">
        <w:rPr>
          <w:sz w:val="28"/>
          <w:szCs w:val="28"/>
        </w:rPr>
        <w:t>có hiệu lực kể từ ngày 10 tháng 12 năm 2018</w:t>
      </w:r>
      <w:r>
        <w:rPr>
          <w:sz w:val="28"/>
          <w:szCs w:val="28"/>
        </w:rPr>
        <w:t>.</w:t>
      </w:r>
    </w:p>
    <w:p w:rsidR="00986DFF" w:rsidRPr="00510D2E" w:rsidRDefault="00986DFF" w:rsidP="00E951B2">
      <w:pPr>
        <w:spacing w:before="120" w:after="120" w:line="320" w:lineRule="exact"/>
        <w:ind w:firstLine="567"/>
        <w:jc w:val="both"/>
        <w:rPr>
          <w:sz w:val="28"/>
        </w:rPr>
      </w:pPr>
      <w:r w:rsidRPr="00510D2E">
        <w:rPr>
          <w:iCs/>
          <w:sz w:val="28"/>
        </w:rPr>
        <w:t>Căn cứ Luật Ngân hàng Nhà nước Việt Nam ngày 16 tháng 6 năm 2010;</w:t>
      </w:r>
    </w:p>
    <w:p w:rsidR="00986DFF" w:rsidRPr="00510D2E" w:rsidRDefault="00986DFF" w:rsidP="00E951B2">
      <w:pPr>
        <w:spacing w:before="120" w:after="120" w:line="320" w:lineRule="exact"/>
        <w:ind w:firstLine="567"/>
        <w:jc w:val="both"/>
        <w:rPr>
          <w:sz w:val="28"/>
        </w:rPr>
      </w:pPr>
      <w:r w:rsidRPr="00510D2E">
        <w:rPr>
          <w:iCs/>
          <w:sz w:val="28"/>
        </w:rPr>
        <w:t>Căn cứ Luật các tổ chức tín dụng ngày 16 tháng 6 năm 2010;</w:t>
      </w:r>
    </w:p>
    <w:p w:rsidR="00986DFF" w:rsidRPr="00510D2E" w:rsidRDefault="00986DFF" w:rsidP="00E951B2">
      <w:pPr>
        <w:spacing w:before="120" w:after="120" w:line="320" w:lineRule="exact"/>
        <w:ind w:firstLine="567"/>
        <w:jc w:val="both"/>
        <w:rPr>
          <w:sz w:val="28"/>
        </w:rPr>
      </w:pPr>
      <w:r w:rsidRPr="00510D2E">
        <w:rPr>
          <w:iCs/>
          <w:sz w:val="28"/>
        </w:rPr>
        <w:t>Căn cứ Nghị định số 156/2013/NĐ-CP ngày 11 tháng 11 năm 2013 của Chính phủ quy định chức năng, nhiệm vụ, quyền hạn và cơ cấu tổ chức của Ngân hàng Nhà nước Việt Nam;</w:t>
      </w:r>
    </w:p>
    <w:p w:rsidR="00986DFF" w:rsidRPr="00510D2E" w:rsidRDefault="00986DFF" w:rsidP="00E951B2">
      <w:pPr>
        <w:spacing w:before="120" w:after="120" w:line="320" w:lineRule="exact"/>
        <w:ind w:firstLine="567"/>
        <w:jc w:val="both"/>
        <w:rPr>
          <w:sz w:val="28"/>
        </w:rPr>
      </w:pPr>
      <w:r w:rsidRPr="00510D2E">
        <w:rPr>
          <w:iCs/>
          <w:sz w:val="28"/>
        </w:rPr>
        <w:t>Căn cứ Nghị định số 55/2015/NĐ-CP ngày 09 tháng 6 năm 2015 của Chính phủ về chính sách tín dụng phục vụ phát triển nông nghiệp, nông thôn;</w:t>
      </w:r>
    </w:p>
    <w:p w:rsidR="00986DFF" w:rsidRPr="00510D2E" w:rsidRDefault="00986DFF" w:rsidP="00E951B2">
      <w:pPr>
        <w:spacing w:before="120" w:after="120" w:line="320" w:lineRule="exact"/>
        <w:ind w:firstLine="567"/>
        <w:jc w:val="both"/>
        <w:rPr>
          <w:sz w:val="28"/>
        </w:rPr>
      </w:pPr>
      <w:r w:rsidRPr="00510D2E">
        <w:rPr>
          <w:iCs/>
          <w:sz w:val="28"/>
        </w:rPr>
        <w:t>Theo đề nghị của Vụ trưởng Vụ Tín dụng các ngành kinh tế;</w:t>
      </w:r>
    </w:p>
    <w:p w:rsidR="00510D2E" w:rsidRPr="00510D2E" w:rsidRDefault="00986DFF" w:rsidP="00E951B2">
      <w:pPr>
        <w:spacing w:before="120" w:after="120" w:line="320" w:lineRule="exact"/>
        <w:ind w:firstLine="567"/>
        <w:jc w:val="both"/>
        <w:rPr>
          <w:lang w:val="vi-VN"/>
        </w:rPr>
      </w:pPr>
      <w:r w:rsidRPr="00510D2E">
        <w:rPr>
          <w:iCs/>
          <w:sz w:val="28"/>
        </w:rPr>
        <w:t>Thống đốc Ngân hàng Nhà nước Việt Nam ban hành Thông tư hướng dẫn thực hiện một số nội dung của Nghị định số 55/2015/NĐ-CP ngày 09 tháng 6 năm 2015 của Chính phủ về chính sách tín dụng phục vụ phát triển nông nghiệp, nông thôn</w:t>
      </w:r>
      <w:r w:rsidR="00EA6EA7" w:rsidRPr="00510D2E">
        <w:rPr>
          <w:sz w:val="28"/>
          <w:szCs w:val="28"/>
          <w:vertAlign w:val="superscript"/>
        </w:rPr>
        <w:footnoteReference w:id="2"/>
      </w:r>
      <w:r w:rsidR="00D0129B" w:rsidRPr="00510D2E">
        <w:rPr>
          <w:lang w:val="vi-VN"/>
        </w:rPr>
        <w:t xml:space="preserve"> </w:t>
      </w:r>
    </w:p>
    <w:p w:rsidR="00986DFF" w:rsidRPr="00BA7100" w:rsidRDefault="00986DFF" w:rsidP="004C1425">
      <w:pPr>
        <w:spacing w:before="120" w:after="120" w:line="400" w:lineRule="exact"/>
        <w:ind w:firstLine="567"/>
        <w:jc w:val="both"/>
        <w:rPr>
          <w:sz w:val="28"/>
          <w:lang w:val="vi-VN"/>
        </w:rPr>
      </w:pPr>
      <w:r w:rsidRPr="00BA7100">
        <w:rPr>
          <w:b/>
          <w:bCs/>
          <w:sz w:val="28"/>
          <w:lang w:val="vi-VN"/>
        </w:rPr>
        <w:lastRenderedPageBreak/>
        <w:t>Điều 1. Phạm vi điều chỉnh</w:t>
      </w:r>
      <w:r w:rsidR="00D0129B" w:rsidRPr="00802BCE">
        <w:rPr>
          <w:sz w:val="28"/>
          <w:szCs w:val="28"/>
          <w:vertAlign w:val="superscript"/>
        </w:rPr>
        <w:footnoteReference w:id="3"/>
      </w:r>
      <w:r w:rsidR="00D0129B" w:rsidRPr="00BA7100">
        <w:rPr>
          <w:iCs/>
          <w:sz w:val="28"/>
          <w:lang w:val="vi-VN"/>
        </w:rPr>
        <w:t>.</w:t>
      </w:r>
    </w:p>
    <w:p w:rsidR="00510D2E" w:rsidRPr="00510D2E" w:rsidRDefault="00510D2E" w:rsidP="004C1425">
      <w:pPr>
        <w:spacing w:before="120" w:after="120" w:line="400" w:lineRule="exact"/>
        <w:ind w:firstLine="709"/>
        <w:jc w:val="both"/>
        <w:rPr>
          <w:sz w:val="28"/>
          <w:szCs w:val="20"/>
          <w:lang w:val="pl-PL"/>
        </w:rPr>
      </w:pPr>
      <w:r w:rsidRPr="00510D2E">
        <w:rPr>
          <w:sz w:val="28"/>
          <w:szCs w:val="20"/>
          <w:lang w:val="pl-PL"/>
        </w:rPr>
        <w:t>Thông tư này quy định về chính sách hỗ trợ nguồn vốn cho vay; việc cơ cấu lại thời hạn trả nợ, cho vay mới; hồ sơ, trình tự, thủ tục đề nghị khoanh nợ; ân hạn nợ; tỷ lệ khấu trừ tối đa đối với tài sản bảo đảm của khoản cho vay phát triển nông nghiệp, nông thôn theo Nghị định số 55/2015/NĐ-CP ngày 09 tháng 6 năm 2015 của Chính phủ về chính sách tín dụng phục vụ phát triển nông nghiệp, nông thôn (sau đây gọi là Nghị định số 55/2015/NĐ-CP) và Nghị định số 116/2018/NĐ-CP ngày 07 tháng 9 năm 2018 của Chính phủ sửa đổi, bổ sung một số điều của Nghị định số 55/2015/NĐ-CP (sau đây gọi là Nghị định số 116/2018/NĐ-CP).</w:t>
      </w:r>
    </w:p>
    <w:p w:rsidR="00986DFF" w:rsidRPr="00BA7100" w:rsidRDefault="00986DFF" w:rsidP="004C1425">
      <w:pPr>
        <w:spacing w:before="120" w:after="120" w:line="400" w:lineRule="exact"/>
        <w:ind w:firstLine="567"/>
        <w:jc w:val="both"/>
        <w:rPr>
          <w:sz w:val="28"/>
          <w:lang w:val="pl-PL"/>
        </w:rPr>
      </w:pPr>
      <w:r w:rsidRPr="00BA7100">
        <w:rPr>
          <w:b/>
          <w:bCs/>
          <w:sz w:val="28"/>
          <w:lang w:val="pl-PL"/>
        </w:rPr>
        <w:t>Điều 2. Đối tượng áp dụng</w:t>
      </w:r>
    </w:p>
    <w:p w:rsidR="00986DFF" w:rsidRPr="00BA7100" w:rsidRDefault="00986DFF" w:rsidP="004C1425">
      <w:pPr>
        <w:spacing w:before="120" w:after="120" w:line="400" w:lineRule="exact"/>
        <w:ind w:firstLine="567"/>
        <w:jc w:val="both"/>
        <w:rPr>
          <w:sz w:val="28"/>
          <w:lang w:val="pl-PL"/>
        </w:rPr>
      </w:pPr>
      <w:r w:rsidRPr="00BA7100">
        <w:rPr>
          <w:sz w:val="28"/>
          <w:lang w:val="pl-PL"/>
        </w:rPr>
        <w:lastRenderedPageBreak/>
        <w:t>1. Tổ chức tín dụng, chi nhánh ngân hàng nước ngoài thực hiện cho vay đối với lĩnh vực nông nghiệp, nông thôn quy định tại khoản 1 Điều 2 Nghị định số 55/2015/NĐ-CP bao gồm: ngân hàng thương mại, ngân hàng hợp tác xã, tổ chức tín dụng phi ngân hàng (trừ công ty cho thuê tài chính, công ty tài chính bao thanh toán), tổ chức tài chính vi mô, quỹ tín dụng nhân dân và chi nhánh ngân hàng nước ngoài tại Việt Nam (sau đây gọi chung là tổ chức tín dụng).</w:t>
      </w:r>
    </w:p>
    <w:p w:rsidR="00C8719A" w:rsidRPr="00C8719A" w:rsidRDefault="00986DFF" w:rsidP="004C1425">
      <w:pPr>
        <w:pStyle w:val="BodyText"/>
        <w:spacing w:before="120" w:line="400" w:lineRule="exact"/>
        <w:ind w:firstLine="709"/>
        <w:jc w:val="both"/>
        <w:rPr>
          <w:sz w:val="28"/>
          <w:szCs w:val="20"/>
          <w:lang w:val="pl-PL"/>
        </w:rPr>
      </w:pPr>
      <w:r w:rsidRPr="00BA7100">
        <w:rPr>
          <w:sz w:val="28"/>
          <w:lang w:val="pl-PL"/>
        </w:rPr>
        <w:t>2</w:t>
      </w:r>
      <w:r w:rsidR="00C8719A" w:rsidRPr="00BA7100">
        <w:rPr>
          <w:sz w:val="28"/>
          <w:lang w:val="pl-PL"/>
        </w:rPr>
        <w:t>.</w:t>
      </w:r>
      <w:r w:rsidR="00C8719A" w:rsidRPr="00BA7100">
        <w:rPr>
          <w:i/>
          <w:sz w:val="28"/>
          <w:szCs w:val="28"/>
          <w:vertAlign w:val="superscript"/>
          <w:lang w:val="pl-PL"/>
        </w:rPr>
        <w:t xml:space="preserve"> </w:t>
      </w:r>
      <w:r w:rsidR="00C8719A" w:rsidRPr="00802BCE">
        <w:rPr>
          <w:sz w:val="28"/>
          <w:szCs w:val="28"/>
          <w:vertAlign w:val="superscript"/>
        </w:rPr>
        <w:footnoteReference w:id="4"/>
      </w:r>
      <w:r w:rsidRPr="00BA7100">
        <w:rPr>
          <w:sz w:val="28"/>
          <w:lang w:val="pl-PL"/>
        </w:rPr>
        <w:t xml:space="preserve"> </w:t>
      </w:r>
      <w:r w:rsidR="00C8719A" w:rsidRPr="00C8719A">
        <w:rPr>
          <w:sz w:val="28"/>
          <w:szCs w:val="20"/>
          <w:lang w:val="pl-PL"/>
        </w:rPr>
        <w:t xml:space="preserve">Khách hàng vay vốn theo quy định tại khoản 2 và khoản 3 Điều 2 Nghị định số 55/2015/NĐ-CP (đã được sửa đổi, bổ sung bởi khoản 1 Điều </w:t>
      </w:r>
      <w:r w:rsidR="00B5698B">
        <w:rPr>
          <w:sz w:val="28"/>
          <w:szCs w:val="20"/>
          <w:lang w:val="pl-PL"/>
        </w:rPr>
        <w:t>1 Nghị định số 116/2018/NĐ-CP)</w:t>
      </w:r>
      <w:r w:rsidR="00C8719A" w:rsidRPr="00C8719A">
        <w:rPr>
          <w:sz w:val="28"/>
          <w:szCs w:val="20"/>
          <w:lang w:val="pl-PL"/>
        </w:rPr>
        <w:t>.</w:t>
      </w:r>
    </w:p>
    <w:p w:rsidR="00986DFF" w:rsidRPr="00BA7100" w:rsidRDefault="00986DFF" w:rsidP="004C1425">
      <w:pPr>
        <w:spacing w:before="120" w:after="120" w:line="400" w:lineRule="exact"/>
        <w:ind w:firstLine="567"/>
        <w:jc w:val="both"/>
        <w:rPr>
          <w:sz w:val="28"/>
          <w:lang w:val="pl-PL"/>
        </w:rPr>
      </w:pPr>
      <w:r w:rsidRPr="00BA7100">
        <w:rPr>
          <w:b/>
          <w:bCs/>
          <w:sz w:val="28"/>
          <w:lang w:val="pl-PL"/>
        </w:rPr>
        <w:t>Điều 3. Chính sách hỗ trợ nguồn vốn cho vay lĩnh vực nông nghiệp, nông thôn</w:t>
      </w:r>
    </w:p>
    <w:p w:rsidR="00986DFF" w:rsidRPr="00BA7100" w:rsidRDefault="00986DFF" w:rsidP="004C1425">
      <w:pPr>
        <w:spacing w:before="120" w:after="120" w:line="400" w:lineRule="exact"/>
        <w:ind w:firstLine="567"/>
        <w:jc w:val="both"/>
        <w:rPr>
          <w:sz w:val="28"/>
          <w:lang w:val="pl-PL"/>
        </w:rPr>
      </w:pPr>
      <w:r w:rsidRPr="00BA7100">
        <w:rPr>
          <w:sz w:val="28"/>
          <w:lang w:val="pl-PL"/>
        </w:rPr>
        <w:t>Ngân hàng Nhà nước Việt Nam (sau đây gọi tắt là Ngân hàng Nhà nước) thực hiện hỗ trợ nguồn vốn đối với các tổ chức tín dụng cho vay lĩnh vực nông nghiệp, nông thôn thông qua việc sử dụng các công cụ điều hành chính sách tiền tệ theo quy định hiện hành, bao gồm:</w:t>
      </w:r>
    </w:p>
    <w:p w:rsidR="00986DFF" w:rsidRPr="00BA7100" w:rsidRDefault="00986DFF" w:rsidP="004C1425">
      <w:pPr>
        <w:spacing w:before="120" w:after="120" w:line="400" w:lineRule="exact"/>
        <w:ind w:firstLine="567"/>
        <w:jc w:val="both"/>
        <w:rPr>
          <w:sz w:val="28"/>
          <w:lang w:val="pl-PL"/>
        </w:rPr>
      </w:pPr>
      <w:r w:rsidRPr="00BA7100">
        <w:rPr>
          <w:sz w:val="28"/>
          <w:lang w:val="pl-PL"/>
        </w:rPr>
        <w:t>1. Tái cấp vốn đối với tổ chức tín dụng cho vay lĩnh vực nông nghiệp, nông thôn.</w:t>
      </w:r>
    </w:p>
    <w:p w:rsidR="00986DFF" w:rsidRPr="00BA7100" w:rsidRDefault="00986DFF" w:rsidP="004C1425">
      <w:pPr>
        <w:spacing w:before="120" w:after="120" w:line="400" w:lineRule="exact"/>
        <w:ind w:firstLine="567"/>
        <w:jc w:val="both"/>
        <w:rPr>
          <w:sz w:val="28"/>
          <w:lang w:val="pl-PL"/>
        </w:rPr>
      </w:pPr>
      <w:r w:rsidRPr="00BA7100">
        <w:rPr>
          <w:sz w:val="28"/>
          <w:lang w:val="pl-PL"/>
        </w:rPr>
        <w:t>2. Giảm tỷ lệ dự trữ bắt buộc đối với tổ chức tín dụng cho vay lĩnh vực nông nghiệp, nông thôn.</w:t>
      </w:r>
    </w:p>
    <w:p w:rsidR="00986DFF" w:rsidRPr="00BA7100" w:rsidRDefault="00986DFF" w:rsidP="004C1425">
      <w:pPr>
        <w:spacing w:before="120" w:after="120" w:line="400" w:lineRule="exact"/>
        <w:ind w:firstLine="567"/>
        <w:jc w:val="both"/>
        <w:rPr>
          <w:sz w:val="28"/>
          <w:lang w:val="pl-PL"/>
        </w:rPr>
      </w:pPr>
      <w:r w:rsidRPr="00BA7100">
        <w:rPr>
          <w:sz w:val="28"/>
          <w:lang w:val="pl-PL"/>
        </w:rPr>
        <w:t>3. Các chính sách hỗ trợ khác.</w:t>
      </w:r>
    </w:p>
    <w:p w:rsidR="00986DFF" w:rsidRPr="00BA7100" w:rsidRDefault="00986DFF" w:rsidP="004C1425">
      <w:pPr>
        <w:spacing w:before="120" w:after="120" w:line="400" w:lineRule="exact"/>
        <w:ind w:firstLine="567"/>
        <w:jc w:val="both"/>
        <w:rPr>
          <w:sz w:val="28"/>
          <w:lang w:val="pl-PL"/>
        </w:rPr>
      </w:pPr>
      <w:r w:rsidRPr="00BA7100">
        <w:rPr>
          <w:b/>
          <w:bCs/>
          <w:sz w:val="28"/>
          <w:lang w:val="pl-PL"/>
        </w:rPr>
        <w:t>Điều 4. Cơ cấu lại thời hạn nợ và cho vay mới</w:t>
      </w:r>
    </w:p>
    <w:p w:rsidR="00C8719A" w:rsidRPr="00C8719A" w:rsidRDefault="00986DFF" w:rsidP="004C1425">
      <w:pPr>
        <w:pStyle w:val="BodyText"/>
        <w:spacing w:before="120" w:line="400" w:lineRule="exact"/>
        <w:ind w:firstLine="709"/>
        <w:jc w:val="both"/>
        <w:rPr>
          <w:color w:val="000000"/>
          <w:sz w:val="28"/>
          <w:szCs w:val="20"/>
          <w:shd w:val="clear" w:color="auto" w:fill="FFFFFF"/>
          <w:lang w:val="pl-PL"/>
        </w:rPr>
      </w:pPr>
      <w:r w:rsidRPr="00BA7100">
        <w:rPr>
          <w:sz w:val="28"/>
          <w:lang w:val="pl-PL"/>
        </w:rPr>
        <w:t>1</w:t>
      </w:r>
      <w:r w:rsidR="00C8719A" w:rsidRPr="00BA7100">
        <w:rPr>
          <w:sz w:val="28"/>
          <w:lang w:val="pl-PL"/>
        </w:rPr>
        <w:t>.</w:t>
      </w:r>
      <w:r w:rsidR="00C8719A" w:rsidRPr="00802BCE">
        <w:rPr>
          <w:sz w:val="28"/>
          <w:szCs w:val="28"/>
          <w:vertAlign w:val="superscript"/>
        </w:rPr>
        <w:footnoteReference w:id="5"/>
      </w:r>
      <w:r w:rsidR="00C8719A" w:rsidRPr="00802BCE">
        <w:rPr>
          <w:color w:val="000000"/>
          <w:sz w:val="28"/>
          <w:szCs w:val="20"/>
          <w:shd w:val="clear" w:color="auto" w:fill="FFFFFF"/>
          <w:lang w:val="pl-PL"/>
        </w:rPr>
        <w:t xml:space="preserve"> </w:t>
      </w:r>
      <w:r w:rsidR="00C8719A" w:rsidRPr="00C8719A">
        <w:rPr>
          <w:color w:val="000000"/>
          <w:sz w:val="28"/>
          <w:szCs w:val="20"/>
          <w:shd w:val="clear" w:color="auto" w:fill="FFFFFF"/>
          <w:lang w:val="pl-PL"/>
        </w:rPr>
        <w:t>Khách hàng quy định tại khoản 1 Điều 12, khoản 3 Điều 14 và khoản 3 Điều 15 Nghị định số 55/2015/NĐ-CP khó khăn trong việc trả nợ vay do nguyên nhân khách quan, bất khả kháng được tổ chức tín dụng xem xét:</w:t>
      </w:r>
    </w:p>
    <w:p w:rsidR="00C8719A" w:rsidRPr="00C8719A" w:rsidRDefault="00C8719A" w:rsidP="004C1425">
      <w:pPr>
        <w:spacing w:before="120" w:after="120" w:line="400" w:lineRule="exact"/>
        <w:ind w:firstLine="709"/>
        <w:jc w:val="both"/>
        <w:rPr>
          <w:color w:val="000000"/>
          <w:sz w:val="28"/>
          <w:szCs w:val="20"/>
          <w:shd w:val="clear" w:color="auto" w:fill="FFFFFF"/>
          <w:lang w:val="pl-PL"/>
        </w:rPr>
      </w:pPr>
      <w:r w:rsidRPr="00C8719A">
        <w:rPr>
          <w:sz w:val="28"/>
          <w:szCs w:val="20"/>
          <w:lang w:val="da-DK"/>
        </w:rPr>
        <w:lastRenderedPageBreak/>
        <w:t xml:space="preserve">a) Cơ cấu lại thời hạn trả nợ và giữ nguyên nhóm nợ trên cơ sở </w:t>
      </w:r>
      <w:r w:rsidRPr="00C8719A">
        <w:rPr>
          <w:color w:val="000000"/>
          <w:sz w:val="28"/>
          <w:szCs w:val="20"/>
          <w:shd w:val="clear" w:color="auto" w:fill="FFFFFF"/>
          <w:lang w:val="pl-PL"/>
        </w:rPr>
        <w:t>đề nghị của khách hàng và đánh giá của tổ chức tín dụng về khả năng trả nợ của khách hàng; thời gian cơ cấu lại thời hạn trả nợ và giữ nguyên nhóm nợ phù hợp với chu kỳ hoạt động sản xuất kinh doanh của khách hàng nhưng tổng thời gian cơ cấu lại thời hạn trả nợ tối đa không vượt quá thời hạn cho vay vốn ban đầu theo hợp đồng tín dụng đã ký;</w:t>
      </w:r>
    </w:p>
    <w:p w:rsidR="00C8719A" w:rsidRPr="00C8719A" w:rsidRDefault="00C8719A" w:rsidP="004C1425">
      <w:pPr>
        <w:spacing w:before="120" w:after="120" w:line="400" w:lineRule="exact"/>
        <w:ind w:firstLine="709"/>
        <w:jc w:val="both"/>
        <w:rPr>
          <w:color w:val="000000"/>
          <w:sz w:val="28"/>
          <w:szCs w:val="20"/>
          <w:shd w:val="clear" w:color="auto" w:fill="FFFFFF"/>
          <w:lang w:val="pl-PL"/>
        </w:rPr>
      </w:pPr>
      <w:r w:rsidRPr="00C8719A">
        <w:rPr>
          <w:sz w:val="28"/>
          <w:szCs w:val="20"/>
          <w:lang w:val="da-DK"/>
        </w:rPr>
        <w:t xml:space="preserve">b) </w:t>
      </w:r>
      <w:r w:rsidRPr="00C8719A">
        <w:rPr>
          <w:color w:val="000000"/>
          <w:sz w:val="28"/>
          <w:szCs w:val="20"/>
          <w:shd w:val="clear" w:color="auto" w:fill="FFFFFF"/>
          <w:lang w:val="pl-PL"/>
        </w:rPr>
        <w:t>Sau thời gian cơ cấu lại thời hạn trả nợ và giữ nguyên nhóm nợ, khách hàng không trả được nợ vay đúng hạn và không được cơ cấu lại thời hạn trả nợ, giữ nguyên nhóm nợ thì tổ chức tín dụng thực hiện phân loại nợ đối với khách hàng theo quy định hiện hành của Ngân hàng Nhà nước về phân loại tài sản có, mức trích, phương pháp trích lập dự phòng rủi ro và việc sử dụng dự phòng để xử lý rủi ro trong hoạt động của tổ chức tín dụng, chi nhánh ngân hàng nước ngoài;</w:t>
      </w:r>
    </w:p>
    <w:p w:rsidR="00986DFF" w:rsidRPr="00C8719A" w:rsidRDefault="00C8719A" w:rsidP="004C1425">
      <w:pPr>
        <w:spacing w:before="120" w:after="120" w:line="400" w:lineRule="exact"/>
        <w:ind w:firstLine="709"/>
        <w:jc w:val="both"/>
        <w:rPr>
          <w:color w:val="000000"/>
          <w:sz w:val="28"/>
          <w:szCs w:val="20"/>
          <w:shd w:val="clear" w:color="auto" w:fill="FFFFFF"/>
          <w:lang w:val="pl-PL"/>
        </w:rPr>
      </w:pPr>
      <w:r w:rsidRPr="00C8719A">
        <w:rPr>
          <w:color w:val="000000"/>
          <w:sz w:val="28"/>
          <w:szCs w:val="20"/>
          <w:shd w:val="clear" w:color="auto" w:fill="FFFFFF"/>
          <w:lang w:val="pl-PL"/>
        </w:rPr>
        <w:t xml:space="preserve">c) Cho vay mới để phục hồi sản xuất kinh doanh đối với khách hàng có dự án, phương </w:t>
      </w:r>
      <w:r w:rsidR="00B5698B">
        <w:rPr>
          <w:color w:val="000000"/>
          <w:sz w:val="28"/>
          <w:szCs w:val="20"/>
          <w:shd w:val="clear" w:color="auto" w:fill="FFFFFF"/>
          <w:lang w:val="pl-PL"/>
        </w:rPr>
        <w:t>án sản xuất kinh doanh khả thi</w:t>
      </w:r>
      <w:r w:rsidRPr="00C8719A">
        <w:rPr>
          <w:color w:val="000000"/>
          <w:sz w:val="28"/>
          <w:szCs w:val="20"/>
          <w:shd w:val="clear" w:color="auto" w:fill="FFFFFF"/>
          <w:lang w:val="pl-PL"/>
        </w:rPr>
        <w:t>.</w:t>
      </w:r>
    </w:p>
    <w:p w:rsidR="00986DFF" w:rsidRPr="00BA7100" w:rsidRDefault="00986DFF" w:rsidP="004C1425">
      <w:pPr>
        <w:spacing w:before="120" w:after="120" w:line="400" w:lineRule="exact"/>
        <w:ind w:firstLine="567"/>
        <w:jc w:val="both"/>
        <w:rPr>
          <w:sz w:val="28"/>
          <w:lang w:val="pl-PL"/>
        </w:rPr>
      </w:pPr>
      <w:r w:rsidRPr="00BA7100">
        <w:rPr>
          <w:sz w:val="28"/>
          <w:lang w:val="pl-PL"/>
        </w:rPr>
        <w:t>2. Căn cứ quy định hiện hành và khả năng tài chính của mình, tổ chức tín dụng xem xét thực hiện các biện pháp hỗ trợ khác (bao gồm cả miễn, giảm lãi vay, lãi quá hạn; ưu tiên thu nợ gốc trước thu nợ lãi sau) nhằm giúp khách hàng khắc phục khó khăn, phục hồi sản xuất kinh doanh.</w:t>
      </w:r>
    </w:p>
    <w:p w:rsidR="00C8719A" w:rsidRPr="00BA7100" w:rsidRDefault="00C8719A" w:rsidP="004C1425">
      <w:pPr>
        <w:spacing w:before="120" w:after="120" w:line="400" w:lineRule="exact"/>
        <w:ind w:firstLine="709"/>
        <w:jc w:val="both"/>
        <w:rPr>
          <w:b/>
          <w:bCs/>
          <w:color w:val="000000"/>
          <w:sz w:val="28"/>
          <w:szCs w:val="20"/>
          <w:shd w:val="clear" w:color="auto" w:fill="FFFFFF"/>
          <w:lang w:val="pl-PL"/>
        </w:rPr>
      </w:pPr>
      <w:r w:rsidRPr="00BA7100">
        <w:rPr>
          <w:b/>
          <w:bCs/>
          <w:color w:val="000000"/>
          <w:sz w:val="28"/>
          <w:szCs w:val="20"/>
          <w:shd w:val="clear" w:color="auto" w:fill="FFFFFF"/>
          <w:lang w:val="pl-PL"/>
        </w:rPr>
        <w:t>Điều 4a.</w:t>
      </w:r>
      <w:r w:rsidRPr="00802BCE">
        <w:rPr>
          <w:color w:val="000000"/>
          <w:sz w:val="28"/>
          <w:szCs w:val="20"/>
          <w:shd w:val="clear" w:color="auto" w:fill="FFFFFF"/>
          <w:lang w:val="pl-PL"/>
        </w:rPr>
        <w:t xml:space="preserve"> </w:t>
      </w:r>
      <w:r w:rsidRPr="00BA7100">
        <w:rPr>
          <w:b/>
          <w:bCs/>
          <w:color w:val="000000"/>
          <w:sz w:val="28"/>
          <w:szCs w:val="20"/>
          <w:shd w:val="clear" w:color="auto" w:fill="FFFFFF"/>
          <w:lang w:val="pl-PL"/>
        </w:rPr>
        <w:t>Ân hạn nợ</w:t>
      </w:r>
      <w:r w:rsidR="00B632C0" w:rsidRPr="00BA7100">
        <w:rPr>
          <w:i/>
          <w:sz w:val="28"/>
          <w:szCs w:val="28"/>
          <w:vertAlign w:val="superscript"/>
          <w:lang w:val="pl-PL"/>
        </w:rPr>
        <w:t xml:space="preserve"> </w:t>
      </w:r>
      <w:r w:rsidR="00B632C0" w:rsidRPr="00802BCE">
        <w:rPr>
          <w:sz w:val="28"/>
          <w:szCs w:val="28"/>
          <w:vertAlign w:val="superscript"/>
        </w:rPr>
        <w:footnoteReference w:id="6"/>
      </w:r>
    </w:p>
    <w:p w:rsidR="00C8719A" w:rsidRPr="00BA7100" w:rsidRDefault="00C8719A" w:rsidP="004C1425">
      <w:pPr>
        <w:spacing w:before="120" w:after="120" w:line="400" w:lineRule="exact"/>
        <w:ind w:firstLine="709"/>
        <w:jc w:val="both"/>
        <w:rPr>
          <w:bCs/>
          <w:color w:val="000000"/>
          <w:sz w:val="28"/>
          <w:szCs w:val="20"/>
          <w:shd w:val="clear" w:color="auto" w:fill="FFFFFF"/>
          <w:lang w:val="pl-PL"/>
        </w:rPr>
      </w:pPr>
      <w:r w:rsidRPr="00BA7100">
        <w:rPr>
          <w:bCs/>
          <w:color w:val="000000"/>
          <w:sz w:val="28"/>
          <w:szCs w:val="20"/>
          <w:shd w:val="clear" w:color="auto" w:fill="FFFFFF"/>
          <w:lang w:val="pl-PL"/>
        </w:rPr>
        <w:t xml:space="preserve">Đối với khách hàng vay để trồng, chăm sóc, tái canh cây lâu năm, tổ chức tín dụng và khách hàng thỏa thuận thời gian ân hạn nợ gốc và lãi phù hợp với giai đoạn kiến thiết của cây trồng lâu năm. </w:t>
      </w:r>
      <w:r w:rsidRPr="00BA7100">
        <w:rPr>
          <w:bCs/>
          <w:sz w:val="28"/>
          <w:szCs w:val="20"/>
          <w:lang w:val="pl-PL"/>
        </w:rPr>
        <w:t xml:space="preserve">Thời gian ân hạn là khoảng thời gian tính từ khi tổ chức tín dụng bắt đầu giải ngân vốn vay đến khi khách hàng bắt đầu trả nợ gốc và lãi được thỏa thuận trong hợp </w:t>
      </w:r>
      <w:r w:rsidR="00B5698B" w:rsidRPr="00BA7100">
        <w:rPr>
          <w:bCs/>
          <w:color w:val="000000"/>
          <w:sz w:val="28"/>
          <w:szCs w:val="20"/>
          <w:shd w:val="clear" w:color="auto" w:fill="FFFFFF"/>
          <w:lang w:val="pl-PL"/>
        </w:rPr>
        <w:t>đồng tín dụng</w:t>
      </w:r>
      <w:r w:rsidRPr="00BA7100">
        <w:rPr>
          <w:bCs/>
          <w:color w:val="000000"/>
          <w:sz w:val="28"/>
          <w:szCs w:val="20"/>
          <w:shd w:val="clear" w:color="auto" w:fill="FFFFFF"/>
          <w:lang w:val="pl-PL"/>
        </w:rPr>
        <w:t>.</w:t>
      </w:r>
    </w:p>
    <w:p w:rsidR="00B17DFC" w:rsidRPr="00BA7100" w:rsidRDefault="00B17DFC" w:rsidP="004C1425">
      <w:pPr>
        <w:spacing w:before="120" w:after="120" w:line="400" w:lineRule="exact"/>
        <w:ind w:firstLine="567"/>
        <w:jc w:val="both"/>
        <w:rPr>
          <w:b/>
          <w:bCs/>
          <w:sz w:val="28"/>
          <w:lang w:val="pl-PL"/>
        </w:rPr>
      </w:pPr>
    </w:p>
    <w:p w:rsidR="00986DFF" w:rsidRPr="00BA7100" w:rsidRDefault="00986DFF" w:rsidP="004C1425">
      <w:pPr>
        <w:spacing w:before="120" w:after="120" w:line="400" w:lineRule="exact"/>
        <w:ind w:firstLine="567"/>
        <w:jc w:val="both"/>
        <w:rPr>
          <w:sz w:val="28"/>
          <w:lang w:val="pl-PL"/>
        </w:rPr>
      </w:pPr>
      <w:r w:rsidRPr="00BA7100">
        <w:rPr>
          <w:b/>
          <w:bCs/>
          <w:sz w:val="28"/>
          <w:lang w:val="pl-PL"/>
        </w:rPr>
        <w:lastRenderedPageBreak/>
        <w:t>Điều 5. Hồ sơ, trình tự thủ tục khoanh nợ, xóa nợ</w:t>
      </w:r>
      <w:r w:rsidR="00C8719A" w:rsidRPr="00AC7F94">
        <w:rPr>
          <w:sz w:val="28"/>
          <w:szCs w:val="28"/>
          <w:vertAlign w:val="superscript"/>
        </w:rPr>
        <w:footnoteReference w:id="7"/>
      </w:r>
    </w:p>
    <w:p w:rsidR="00413480" w:rsidRDefault="00C8719A" w:rsidP="004C1425">
      <w:pPr>
        <w:spacing w:before="120" w:after="120" w:line="400" w:lineRule="exact"/>
        <w:ind w:firstLine="709"/>
        <w:jc w:val="both"/>
        <w:rPr>
          <w:bCs/>
          <w:color w:val="000000"/>
          <w:sz w:val="28"/>
          <w:szCs w:val="20"/>
          <w:shd w:val="clear" w:color="auto" w:fill="FFFFFF"/>
          <w:lang w:val="pl-PL"/>
        </w:rPr>
      </w:pPr>
      <w:r w:rsidRPr="00C8719A">
        <w:rPr>
          <w:bCs/>
          <w:color w:val="000000"/>
          <w:sz w:val="28"/>
          <w:szCs w:val="20"/>
          <w:shd w:val="clear" w:color="auto" w:fill="FFFFFF"/>
          <w:lang w:val="pl-PL"/>
        </w:rPr>
        <w:t xml:space="preserve">Hồ sơ, trình tự, thủ tục đề nghị khoanh nợ thực hiện theo quy định tại khoản 3 Điều 12 Nghị định số 55/2015/NĐ-CP (đã được bổ sung bởi khoản 6 Điều </w:t>
      </w:r>
      <w:r w:rsidR="00B5698B">
        <w:rPr>
          <w:bCs/>
          <w:color w:val="000000"/>
          <w:sz w:val="28"/>
          <w:szCs w:val="20"/>
          <w:shd w:val="clear" w:color="auto" w:fill="FFFFFF"/>
          <w:lang w:val="pl-PL"/>
        </w:rPr>
        <w:t>1 Nghị định số 116/2018/NĐ-CP)</w:t>
      </w:r>
      <w:r w:rsidRPr="00C8719A">
        <w:rPr>
          <w:bCs/>
          <w:color w:val="000000"/>
          <w:sz w:val="28"/>
          <w:szCs w:val="20"/>
          <w:shd w:val="clear" w:color="auto" w:fill="FFFFFF"/>
          <w:lang w:val="pl-PL"/>
        </w:rPr>
        <w:t>.</w:t>
      </w:r>
    </w:p>
    <w:p w:rsidR="00986DFF" w:rsidRPr="00413480" w:rsidRDefault="00986DFF" w:rsidP="004C1425">
      <w:pPr>
        <w:spacing w:before="120" w:after="120" w:line="400" w:lineRule="exact"/>
        <w:ind w:firstLine="709"/>
        <w:jc w:val="both"/>
        <w:rPr>
          <w:bCs/>
          <w:color w:val="000000"/>
          <w:sz w:val="28"/>
          <w:szCs w:val="20"/>
          <w:shd w:val="clear" w:color="auto" w:fill="FFFFFF"/>
          <w:lang w:val="pl-PL"/>
        </w:rPr>
      </w:pPr>
      <w:r w:rsidRPr="00BA7100">
        <w:rPr>
          <w:b/>
          <w:bCs/>
          <w:sz w:val="28"/>
          <w:lang w:val="pl-PL"/>
        </w:rPr>
        <w:t>Điều 6. Tỷ lệ khấu trừ tối đa đối với tài sản bảo đảm quy định tại điểm b Khoản 1 Điều 13 Nghị định số 55/2015/NĐ-CP</w:t>
      </w:r>
    </w:p>
    <w:p w:rsidR="00986DFF" w:rsidRPr="00BA7100" w:rsidRDefault="00986DFF" w:rsidP="004C1425">
      <w:pPr>
        <w:spacing w:before="120" w:after="120" w:line="400" w:lineRule="exact"/>
        <w:ind w:firstLine="567"/>
        <w:jc w:val="both"/>
        <w:rPr>
          <w:sz w:val="28"/>
          <w:lang w:val="pl-PL"/>
        </w:rPr>
      </w:pPr>
      <w:r w:rsidRPr="00BA7100">
        <w:rPr>
          <w:sz w:val="28"/>
          <w:lang w:val="pl-PL"/>
        </w:rPr>
        <w:t>1. Tỷ lệ khấu trừ đối với tài sản bảo đảm của các khoản cho vay lĩnh vực nông nghiệp, nông thôn tối đa bằng 100% so với tỷ lệ khấu trừ tối đa đối với từng loại tài sản bảo đảm tương ứng của khoản cho vay lĩnh vực khác.</w:t>
      </w:r>
    </w:p>
    <w:p w:rsidR="00986DFF" w:rsidRPr="00BA7100" w:rsidRDefault="00986DFF" w:rsidP="004C1425">
      <w:pPr>
        <w:spacing w:before="120" w:after="120" w:line="400" w:lineRule="exact"/>
        <w:ind w:firstLine="567"/>
        <w:jc w:val="both"/>
        <w:rPr>
          <w:sz w:val="28"/>
          <w:lang w:val="pl-PL"/>
        </w:rPr>
      </w:pPr>
      <w:r w:rsidRPr="00BA7100">
        <w:rPr>
          <w:sz w:val="28"/>
          <w:lang w:val="pl-PL"/>
        </w:rPr>
        <w:t>2. Tổ chức tín dụng quyết định tỷ lệ khấu trừ đối với từng loại tài sản bảo đảm của khoản cho vay trên cơ sở đánh giá khả năng thu hồi khi xử lý tài sản bảo đảm đó nhưng không được vượt quá tỷ lệ khấu trừ tối đa quy định tại khoản 1 Điều này.</w:t>
      </w:r>
    </w:p>
    <w:p w:rsidR="00986DFF" w:rsidRPr="00BA7100" w:rsidRDefault="00986DFF" w:rsidP="004C1425">
      <w:pPr>
        <w:spacing w:before="120" w:after="120" w:line="400" w:lineRule="exact"/>
        <w:ind w:firstLine="567"/>
        <w:jc w:val="both"/>
        <w:rPr>
          <w:sz w:val="28"/>
          <w:lang w:val="pl-PL"/>
        </w:rPr>
      </w:pPr>
      <w:r w:rsidRPr="00BA7100">
        <w:rPr>
          <w:b/>
          <w:bCs/>
          <w:sz w:val="28"/>
          <w:lang w:val="pl-PL"/>
        </w:rPr>
        <w:t>Điều 7. Trách nhiệm của tổ chức tín dụng</w:t>
      </w:r>
    </w:p>
    <w:p w:rsidR="00986DFF" w:rsidRPr="00BA7100" w:rsidRDefault="00986DFF" w:rsidP="004C1425">
      <w:pPr>
        <w:spacing w:before="120" w:after="120" w:line="400" w:lineRule="exact"/>
        <w:ind w:firstLine="567"/>
        <w:jc w:val="both"/>
        <w:rPr>
          <w:sz w:val="28"/>
          <w:lang w:val="pl-PL"/>
        </w:rPr>
      </w:pPr>
      <w:r w:rsidRPr="00BA7100">
        <w:rPr>
          <w:sz w:val="28"/>
          <w:lang w:val="pl-PL"/>
        </w:rPr>
        <w:t>1. Thực hiện theo quy định tại Điều 23 Nghị định số 55/2015/NĐ-CP.</w:t>
      </w:r>
    </w:p>
    <w:p w:rsidR="004B67F6" w:rsidRPr="00BA7100" w:rsidRDefault="004B67F6" w:rsidP="004C1425">
      <w:pPr>
        <w:spacing w:before="120" w:after="120" w:line="400" w:lineRule="exact"/>
        <w:ind w:firstLine="567"/>
        <w:jc w:val="both"/>
        <w:rPr>
          <w:sz w:val="28"/>
          <w:lang w:val="pl-PL"/>
        </w:rPr>
      </w:pPr>
      <w:r w:rsidRPr="004B67F6">
        <w:rPr>
          <w:sz w:val="28"/>
          <w:szCs w:val="20"/>
          <w:lang w:val="pl-PL"/>
        </w:rPr>
        <w:t>2</w:t>
      </w:r>
      <w:r w:rsidRPr="00AC7F94">
        <w:rPr>
          <w:sz w:val="28"/>
          <w:szCs w:val="20"/>
          <w:lang w:val="pl-PL"/>
        </w:rPr>
        <w:t>.</w:t>
      </w:r>
      <w:r w:rsidRPr="00BA7100">
        <w:rPr>
          <w:sz w:val="28"/>
          <w:szCs w:val="28"/>
          <w:vertAlign w:val="superscript"/>
          <w:lang w:val="pl-PL"/>
        </w:rPr>
        <w:t xml:space="preserve"> </w:t>
      </w:r>
      <w:r w:rsidRPr="00AC7F94">
        <w:rPr>
          <w:sz w:val="28"/>
          <w:szCs w:val="28"/>
          <w:vertAlign w:val="superscript"/>
        </w:rPr>
        <w:footnoteReference w:id="8"/>
      </w:r>
      <w:r w:rsidRPr="004B67F6">
        <w:rPr>
          <w:sz w:val="28"/>
          <w:szCs w:val="20"/>
          <w:lang w:val="pl-PL"/>
        </w:rPr>
        <w:t xml:space="preserve"> Ban hành hướng dẫn để triển khai thống nhất trong hệ thống tổ chức tín dụng về:</w:t>
      </w:r>
    </w:p>
    <w:p w:rsidR="004B67F6" w:rsidRPr="004B67F6" w:rsidRDefault="004B67F6" w:rsidP="004C1425">
      <w:pPr>
        <w:spacing w:before="120" w:after="120" w:line="400" w:lineRule="exact"/>
        <w:ind w:firstLine="709"/>
        <w:jc w:val="both"/>
        <w:rPr>
          <w:bCs/>
          <w:color w:val="000000"/>
          <w:sz w:val="28"/>
          <w:szCs w:val="20"/>
          <w:shd w:val="clear" w:color="auto" w:fill="FFFFFF"/>
          <w:lang w:val="pl-PL"/>
        </w:rPr>
      </w:pPr>
      <w:r w:rsidRPr="004B67F6">
        <w:rPr>
          <w:sz w:val="28"/>
          <w:szCs w:val="20"/>
          <w:lang w:val="pl-PL"/>
        </w:rPr>
        <w:t>- Cho vay liên kết trong sản xuất nông nghiệp phù hợp với quy định tại k</w:t>
      </w:r>
      <w:r w:rsidRPr="004B67F6">
        <w:rPr>
          <w:bCs/>
          <w:color w:val="000000"/>
          <w:sz w:val="28"/>
          <w:szCs w:val="20"/>
          <w:shd w:val="clear" w:color="auto" w:fill="FFFFFF"/>
          <w:lang w:val="pl-PL"/>
        </w:rPr>
        <w:t>hoản 4 Điều 14 Nghị định số 55/2015/NĐ-CP (đã được bổ sung bởi khoản 7 Điều 1 Nghị định số 116/2018/NĐ-CP);</w:t>
      </w:r>
    </w:p>
    <w:p w:rsidR="004B67F6" w:rsidRPr="004B67F6" w:rsidRDefault="004B67F6" w:rsidP="004C1425">
      <w:pPr>
        <w:spacing w:before="120" w:after="120" w:line="400" w:lineRule="exact"/>
        <w:ind w:firstLine="709"/>
        <w:jc w:val="both"/>
        <w:rPr>
          <w:bCs/>
          <w:color w:val="000000"/>
          <w:sz w:val="28"/>
          <w:szCs w:val="20"/>
          <w:shd w:val="clear" w:color="auto" w:fill="FFFFFF"/>
          <w:lang w:val="pl-PL"/>
        </w:rPr>
      </w:pPr>
      <w:r w:rsidRPr="004B67F6">
        <w:rPr>
          <w:bCs/>
          <w:color w:val="000000"/>
          <w:sz w:val="28"/>
          <w:szCs w:val="20"/>
          <w:shd w:val="clear" w:color="auto" w:fill="FFFFFF"/>
          <w:lang w:val="pl-PL"/>
        </w:rPr>
        <w:t>- H</w:t>
      </w:r>
      <w:r w:rsidRPr="004B67F6">
        <w:rPr>
          <w:sz w:val="28"/>
          <w:szCs w:val="20"/>
          <w:lang w:val="pl-PL"/>
        </w:rPr>
        <w:t xml:space="preserve">ồ sơ, trình tự, thủ tục đề nghị khoanh nợ phù hợp với quy định tại </w:t>
      </w:r>
      <w:r w:rsidRPr="004B67F6">
        <w:rPr>
          <w:bCs/>
          <w:color w:val="000000"/>
          <w:sz w:val="28"/>
          <w:szCs w:val="20"/>
          <w:shd w:val="clear" w:color="auto" w:fill="FFFFFF"/>
          <w:lang w:val="pl-PL"/>
        </w:rPr>
        <w:t xml:space="preserve">khoản 3 Điều 12 Nghị định số 55/2015/NĐ-CP (đã được bổ sung bởi khoản 6 Điều 1 Nghị định số 116/2018/NĐ-CP). Tổ chức tín dụng chịu trách nhiệm về </w:t>
      </w:r>
      <w:r w:rsidRPr="004B67F6">
        <w:rPr>
          <w:bCs/>
          <w:color w:val="000000"/>
          <w:sz w:val="28"/>
          <w:szCs w:val="20"/>
          <w:shd w:val="clear" w:color="auto" w:fill="FFFFFF"/>
          <w:lang w:val="pl-PL"/>
        </w:rPr>
        <w:lastRenderedPageBreak/>
        <w:t>tính chính xác, hợp pháp, hợp lệ của hồ sơ, số liệu, đối tượng khách hàng đề nghị khoanh nợ.</w:t>
      </w:r>
    </w:p>
    <w:p w:rsidR="004B67F6" w:rsidRPr="004B67F6" w:rsidRDefault="004B67F6" w:rsidP="004C1425">
      <w:pPr>
        <w:spacing w:before="120" w:after="120" w:line="400" w:lineRule="exact"/>
        <w:ind w:firstLine="709"/>
        <w:jc w:val="both"/>
        <w:rPr>
          <w:sz w:val="28"/>
          <w:szCs w:val="20"/>
          <w:lang w:val="pl-PL"/>
        </w:rPr>
      </w:pPr>
      <w:r w:rsidRPr="004B67F6">
        <w:rPr>
          <w:sz w:val="28"/>
          <w:szCs w:val="20"/>
          <w:lang w:val="pl-PL"/>
        </w:rPr>
        <w:t>3</w:t>
      </w:r>
      <w:r w:rsidRPr="00AC7F94">
        <w:rPr>
          <w:sz w:val="28"/>
          <w:szCs w:val="20"/>
          <w:lang w:val="pl-PL"/>
        </w:rPr>
        <w:t>.</w:t>
      </w:r>
      <w:r w:rsidRPr="00BA7100">
        <w:rPr>
          <w:sz w:val="28"/>
          <w:szCs w:val="28"/>
          <w:vertAlign w:val="superscript"/>
          <w:lang w:val="pl-PL"/>
        </w:rPr>
        <w:t xml:space="preserve"> </w:t>
      </w:r>
      <w:r w:rsidRPr="00AC7F94">
        <w:rPr>
          <w:sz w:val="28"/>
          <w:szCs w:val="28"/>
          <w:vertAlign w:val="superscript"/>
        </w:rPr>
        <w:footnoteReference w:id="9"/>
      </w:r>
      <w:r w:rsidRPr="004B67F6">
        <w:rPr>
          <w:sz w:val="28"/>
          <w:szCs w:val="20"/>
          <w:lang w:val="pl-PL"/>
        </w:rPr>
        <w:t xml:space="preserve">  Chủ động phối hợp với chính quyền địa phương các cấp, các tổ chức chính trị - xã hội trong việc thông tin, tuyên truyền về chính sách tín dụng phục vụ phát triển nông nghiệp, nông thôn theo quy định tại Nghị định số 55/2015/NĐ-CP, Nghị định số 116/2018/NĐ-CP và Thông tư này.</w:t>
      </w:r>
    </w:p>
    <w:p w:rsidR="004B67F6" w:rsidRPr="004B67F6" w:rsidRDefault="004B67F6" w:rsidP="004C1425">
      <w:pPr>
        <w:spacing w:before="120" w:after="120" w:line="400" w:lineRule="exact"/>
        <w:ind w:firstLine="709"/>
        <w:jc w:val="both"/>
        <w:rPr>
          <w:sz w:val="28"/>
          <w:szCs w:val="20"/>
          <w:lang w:val="pl-PL"/>
        </w:rPr>
      </w:pPr>
      <w:r w:rsidRPr="004B67F6">
        <w:rPr>
          <w:sz w:val="28"/>
          <w:szCs w:val="20"/>
          <w:lang w:val="pl-PL"/>
        </w:rPr>
        <w:t>4.</w:t>
      </w:r>
      <w:r w:rsidRPr="00BA7100">
        <w:rPr>
          <w:i/>
          <w:sz w:val="28"/>
          <w:szCs w:val="28"/>
          <w:vertAlign w:val="superscript"/>
          <w:lang w:val="pl-PL"/>
        </w:rPr>
        <w:t xml:space="preserve"> </w:t>
      </w:r>
      <w:r w:rsidRPr="00AC7F94">
        <w:rPr>
          <w:sz w:val="28"/>
          <w:szCs w:val="28"/>
          <w:vertAlign w:val="superscript"/>
        </w:rPr>
        <w:footnoteReference w:id="10"/>
      </w:r>
      <w:r w:rsidRPr="00AC7F94">
        <w:rPr>
          <w:sz w:val="28"/>
          <w:szCs w:val="20"/>
          <w:lang w:val="pl-PL"/>
        </w:rPr>
        <w:t xml:space="preserve"> </w:t>
      </w:r>
      <w:r w:rsidRPr="004B67F6">
        <w:rPr>
          <w:sz w:val="28"/>
          <w:szCs w:val="20"/>
          <w:lang w:val="pl-PL"/>
        </w:rPr>
        <w:t xml:space="preserve"> Xác định và ghi rõ mục đích cho vay phát triển nông nghiệp nông thôn tại hợp đồng tín dụng, theo dõi riêng hồ sơ cho vay đối với lĩnh vực nông nghiệp, nông thôn.</w:t>
      </w:r>
    </w:p>
    <w:p w:rsidR="00040617" w:rsidRDefault="004B67F6" w:rsidP="004C1425">
      <w:pPr>
        <w:spacing w:before="120" w:after="120" w:line="400" w:lineRule="exact"/>
        <w:ind w:firstLine="709"/>
        <w:jc w:val="both"/>
        <w:rPr>
          <w:sz w:val="28"/>
          <w:szCs w:val="20"/>
          <w:lang w:val="pl-PL"/>
        </w:rPr>
      </w:pPr>
      <w:r w:rsidRPr="004B67F6">
        <w:rPr>
          <w:sz w:val="28"/>
          <w:szCs w:val="20"/>
          <w:lang w:val="pl-PL"/>
        </w:rPr>
        <w:t xml:space="preserve">5. </w:t>
      </w:r>
      <w:r w:rsidRPr="00AC7F94">
        <w:rPr>
          <w:sz w:val="28"/>
          <w:szCs w:val="28"/>
          <w:vertAlign w:val="superscript"/>
        </w:rPr>
        <w:footnoteReference w:id="11"/>
      </w:r>
      <w:r w:rsidRPr="004B67F6">
        <w:rPr>
          <w:sz w:val="28"/>
          <w:szCs w:val="20"/>
          <w:lang w:val="pl-PL"/>
        </w:rPr>
        <w:t xml:space="preserve">  Báo cáo Ngân hàng Nhà nước dư nợ tín dụng đối với lĩnh vực nông nghiệp, nông thôn theo quy định về chế độ báo cáo thống kê áp dụng đối với các tổ chức tín dụng, chi nhánh ngân hàng nước ngoài; định kỳ hàng quý (trước ngày 15 tháng đầu tiên của quý tiếp theo) báo cáo tình hình cơ cấu lại thời hạn trả nợ và giữ nguyên nhóm nợ đối với lĩnh vực nông nghiệp, nông thôn theo mẫu biểu đính kèm Thông tư này. </w:t>
      </w:r>
    </w:p>
    <w:p w:rsidR="004B67F6" w:rsidRPr="00040617" w:rsidRDefault="004B67F6" w:rsidP="004C1425">
      <w:pPr>
        <w:spacing w:before="120" w:after="120" w:line="400" w:lineRule="exact"/>
        <w:ind w:firstLine="709"/>
        <w:jc w:val="both"/>
        <w:rPr>
          <w:spacing w:val="-2"/>
          <w:sz w:val="28"/>
          <w:szCs w:val="20"/>
          <w:lang w:val="pl-PL"/>
        </w:rPr>
      </w:pPr>
      <w:r w:rsidRPr="00040617">
        <w:rPr>
          <w:color w:val="000000"/>
          <w:spacing w:val="-2"/>
          <w:sz w:val="28"/>
          <w:szCs w:val="20"/>
          <w:shd w:val="clear" w:color="auto" w:fill="FFFFFF"/>
          <w:lang w:val="pl-PL"/>
        </w:rPr>
        <w:t xml:space="preserve">6. </w:t>
      </w:r>
      <w:r w:rsidRPr="00BA7100">
        <w:rPr>
          <w:i/>
          <w:spacing w:val="-2"/>
          <w:sz w:val="28"/>
          <w:szCs w:val="28"/>
          <w:vertAlign w:val="superscript"/>
          <w:lang w:val="pl-PL"/>
        </w:rPr>
        <w:t xml:space="preserve"> </w:t>
      </w:r>
      <w:r w:rsidRPr="00040617">
        <w:rPr>
          <w:spacing w:val="-2"/>
          <w:sz w:val="28"/>
          <w:szCs w:val="28"/>
          <w:vertAlign w:val="superscript"/>
        </w:rPr>
        <w:footnoteReference w:id="12"/>
      </w:r>
      <w:r w:rsidRPr="00040617">
        <w:rPr>
          <w:spacing w:val="-2"/>
          <w:sz w:val="28"/>
          <w:szCs w:val="20"/>
          <w:lang w:val="pl-PL"/>
        </w:rPr>
        <w:t xml:space="preserve"> </w:t>
      </w:r>
      <w:r w:rsidRPr="00040617">
        <w:rPr>
          <w:color w:val="000000"/>
          <w:spacing w:val="-2"/>
          <w:sz w:val="28"/>
          <w:szCs w:val="20"/>
          <w:shd w:val="clear" w:color="auto" w:fill="FFFFFF"/>
          <w:lang w:val="pl-PL"/>
        </w:rPr>
        <w:t>Thực</w:t>
      </w:r>
      <w:r w:rsidRPr="00040617">
        <w:rPr>
          <w:spacing w:val="-2"/>
          <w:sz w:val="28"/>
          <w:szCs w:val="20"/>
          <w:lang w:val="pl-PL"/>
        </w:rPr>
        <w:t xml:space="preserve"> hiện kiểm tra, giám sát trong hệ thống về cơ cấu lại thời hạn trả nợ và giữ nguyên nhóm nợ để đảm bảo phản ánh đú</w:t>
      </w:r>
      <w:r w:rsidR="00B5698B" w:rsidRPr="00040617">
        <w:rPr>
          <w:spacing w:val="-2"/>
          <w:sz w:val="28"/>
          <w:szCs w:val="20"/>
          <w:lang w:val="pl-PL"/>
        </w:rPr>
        <w:t>ng tình trạng của các khoản nợ</w:t>
      </w:r>
      <w:r w:rsidRPr="00040617">
        <w:rPr>
          <w:spacing w:val="-2"/>
          <w:sz w:val="28"/>
          <w:szCs w:val="20"/>
          <w:lang w:val="pl-PL"/>
        </w:rPr>
        <w:t>.</w:t>
      </w:r>
    </w:p>
    <w:p w:rsidR="00986DFF" w:rsidRPr="00BA7100" w:rsidRDefault="00986DFF" w:rsidP="004C1425">
      <w:pPr>
        <w:spacing w:before="120" w:after="120" w:line="400" w:lineRule="exact"/>
        <w:ind w:firstLine="567"/>
        <w:jc w:val="both"/>
        <w:rPr>
          <w:sz w:val="28"/>
          <w:lang w:val="pl-PL"/>
        </w:rPr>
      </w:pPr>
      <w:r w:rsidRPr="00BA7100">
        <w:rPr>
          <w:b/>
          <w:bCs/>
          <w:sz w:val="28"/>
          <w:lang w:val="pl-PL"/>
        </w:rPr>
        <w:lastRenderedPageBreak/>
        <w:t>Điều 8. Trách nhiệm của các đơn vị thuộc Ngân hàng Nhà nước</w:t>
      </w:r>
    </w:p>
    <w:p w:rsidR="00986DFF" w:rsidRPr="00BA7100" w:rsidRDefault="00986DFF" w:rsidP="004C1425">
      <w:pPr>
        <w:spacing w:before="120" w:after="120" w:line="400" w:lineRule="exact"/>
        <w:ind w:firstLine="567"/>
        <w:jc w:val="both"/>
        <w:rPr>
          <w:sz w:val="28"/>
          <w:lang w:val="pl-PL"/>
        </w:rPr>
      </w:pPr>
      <w:r w:rsidRPr="00BA7100">
        <w:rPr>
          <w:sz w:val="28"/>
          <w:lang w:val="pl-PL"/>
        </w:rPr>
        <w:t>1. Vụ Tín dụng các ngành kinh tế</w:t>
      </w:r>
    </w:p>
    <w:p w:rsidR="004B67F6" w:rsidRPr="00B5698B" w:rsidRDefault="004B67F6" w:rsidP="004C1425">
      <w:pPr>
        <w:spacing w:before="120" w:after="120" w:line="400" w:lineRule="exact"/>
        <w:ind w:firstLine="567"/>
        <w:jc w:val="both"/>
        <w:rPr>
          <w:sz w:val="28"/>
          <w:szCs w:val="20"/>
          <w:lang w:val="pl-PL"/>
        </w:rPr>
      </w:pPr>
      <w:r w:rsidRPr="004B67F6">
        <w:rPr>
          <w:sz w:val="28"/>
          <w:szCs w:val="20"/>
          <w:lang w:val="pl-PL"/>
        </w:rPr>
        <w:t>a</w:t>
      </w:r>
      <w:r w:rsidRPr="00AC7F94">
        <w:rPr>
          <w:sz w:val="28"/>
          <w:szCs w:val="20"/>
          <w:lang w:val="pl-PL"/>
        </w:rPr>
        <w:t>)</w:t>
      </w:r>
      <w:r w:rsidRPr="00BA7100">
        <w:rPr>
          <w:sz w:val="28"/>
          <w:szCs w:val="28"/>
          <w:vertAlign w:val="superscript"/>
          <w:lang w:val="pl-PL"/>
        </w:rPr>
        <w:t xml:space="preserve"> </w:t>
      </w:r>
      <w:r w:rsidRPr="00AC7F94">
        <w:rPr>
          <w:sz w:val="28"/>
          <w:szCs w:val="28"/>
          <w:vertAlign w:val="superscript"/>
        </w:rPr>
        <w:footnoteReference w:id="13"/>
      </w:r>
      <w:r w:rsidRPr="004B67F6">
        <w:rPr>
          <w:sz w:val="28"/>
          <w:szCs w:val="20"/>
          <w:lang w:val="pl-PL"/>
        </w:rPr>
        <w:t xml:space="preserve"> Tham mưu cho Thống đốc Ngân hàng Nhà nước trong việc phối hợp với Bộ Tài chính xem xét xử lý đề nghị khoanh nợ do nguyên nhân khách quan, bất khả kháng và thiên tai, dịch bệnh trên phạm vi rộng theo quy định tại khoản 2, khoản 3, khoản 4 Điều 12 Nghị định số 55/2015/NĐ-CP </w:t>
      </w:r>
      <w:r w:rsidRPr="004B67F6">
        <w:rPr>
          <w:bCs/>
          <w:color w:val="000000"/>
          <w:sz w:val="28"/>
          <w:szCs w:val="20"/>
          <w:shd w:val="clear" w:color="auto" w:fill="FFFFFF"/>
          <w:lang w:val="pl-PL"/>
        </w:rPr>
        <w:t>(đã được sửa đổi, bổ sung bởi khoản 6 Điều 1 Nghị định số 116/2018/NĐ-CP)</w:t>
      </w:r>
      <w:r w:rsidRPr="004B67F6">
        <w:rPr>
          <w:sz w:val="28"/>
          <w:szCs w:val="20"/>
          <w:lang w:val="pl-PL"/>
        </w:rPr>
        <w:t>;</w:t>
      </w:r>
    </w:p>
    <w:p w:rsidR="00986DFF" w:rsidRPr="00BA7100" w:rsidRDefault="00986DFF" w:rsidP="004C1425">
      <w:pPr>
        <w:spacing w:before="120" w:after="120" w:line="400" w:lineRule="exact"/>
        <w:ind w:firstLine="567"/>
        <w:jc w:val="both"/>
        <w:rPr>
          <w:sz w:val="28"/>
          <w:lang w:val="pl-PL"/>
        </w:rPr>
      </w:pPr>
      <w:r w:rsidRPr="00BA7100">
        <w:rPr>
          <w:sz w:val="28"/>
          <w:lang w:val="pl-PL"/>
        </w:rPr>
        <w:t>b) Chủ trì, phối hợp với các đơn vị có liên quan trong việc tham mưu cho Thống đốc Ngân hàng Nhà nước xử lý các vấn đề phát sinh trong quá trình triển khai thực hiện Thông tư này.</w:t>
      </w:r>
    </w:p>
    <w:p w:rsidR="00986DFF" w:rsidRPr="00BA7100" w:rsidRDefault="00986DFF" w:rsidP="004C1425">
      <w:pPr>
        <w:spacing w:before="120" w:after="120" w:line="400" w:lineRule="exact"/>
        <w:ind w:firstLine="567"/>
        <w:jc w:val="both"/>
        <w:rPr>
          <w:sz w:val="28"/>
          <w:lang w:val="pl-PL"/>
        </w:rPr>
      </w:pPr>
      <w:r w:rsidRPr="00BA7100">
        <w:rPr>
          <w:sz w:val="28"/>
          <w:lang w:val="pl-PL"/>
        </w:rPr>
        <w:t>2. Vụ Chính sách tiền tệ</w:t>
      </w:r>
    </w:p>
    <w:p w:rsidR="00986DFF" w:rsidRPr="00BA7100" w:rsidRDefault="00986DFF" w:rsidP="004C1425">
      <w:pPr>
        <w:spacing w:before="120" w:after="120" w:line="400" w:lineRule="exact"/>
        <w:ind w:firstLine="567"/>
        <w:jc w:val="both"/>
        <w:rPr>
          <w:sz w:val="28"/>
          <w:lang w:val="pl-PL"/>
        </w:rPr>
      </w:pPr>
      <w:r w:rsidRPr="00BA7100">
        <w:rPr>
          <w:sz w:val="28"/>
          <w:lang w:val="pl-PL"/>
        </w:rPr>
        <w:t>a) Chủ trì, phối hợp với các đơn vị có liên quan tham mưu cho Thống đốc Ngân hàng Nhà nước ban hành văn bản hướng dẫn thực hiện chính sách hỗ trợ nguồn vốn đối với tổ chức tín dụng cho vay lĩnh vực nông nghiệp, nông thôn thông qua việc sử dụng các công cụ điều hành chính sách tiền tệ;</w:t>
      </w:r>
    </w:p>
    <w:p w:rsidR="00986DFF" w:rsidRPr="00BA7100" w:rsidRDefault="00986DFF" w:rsidP="004C1425">
      <w:pPr>
        <w:spacing w:before="120" w:after="120" w:line="400" w:lineRule="exact"/>
        <w:ind w:firstLine="567"/>
        <w:jc w:val="both"/>
        <w:rPr>
          <w:sz w:val="28"/>
          <w:lang w:val="pl-PL"/>
        </w:rPr>
      </w:pPr>
      <w:r w:rsidRPr="00BA7100">
        <w:rPr>
          <w:sz w:val="28"/>
          <w:lang w:val="pl-PL"/>
        </w:rPr>
        <w:t>b) Phối hợp với Vụ Tín dụng các ngành kinh tế và các đơn vị có liên quan xử lý các vấn đề phát sinh trong quá trình triển khai thực hiện Thông tư này.</w:t>
      </w:r>
    </w:p>
    <w:p w:rsidR="00986DFF" w:rsidRPr="00BA7100" w:rsidRDefault="00986DFF" w:rsidP="004C1425">
      <w:pPr>
        <w:spacing w:before="120" w:after="120" w:line="400" w:lineRule="exact"/>
        <w:ind w:firstLine="567"/>
        <w:jc w:val="both"/>
        <w:rPr>
          <w:sz w:val="28"/>
          <w:lang w:val="pl-PL"/>
        </w:rPr>
      </w:pPr>
      <w:r w:rsidRPr="00BA7100">
        <w:rPr>
          <w:sz w:val="28"/>
          <w:lang w:val="pl-PL"/>
        </w:rPr>
        <w:t>3. Cơ quan Thanh tra, giám sát ngân hàng</w:t>
      </w:r>
    </w:p>
    <w:p w:rsidR="00986DFF" w:rsidRPr="00BA7100" w:rsidRDefault="00986DFF" w:rsidP="004C1425">
      <w:pPr>
        <w:spacing w:before="120" w:after="120" w:line="400" w:lineRule="exact"/>
        <w:ind w:firstLine="567"/>
        <w:jc w:val="both"/>
        <w:rPr>
          <w:sz w:val="28"/>
          <w:lang w:val="pl-PL"/>
        </w:rPr>
      </w:pPr>
      <w:r w:rsidRPr="00BA7100">
        <w:rPr>
          <w:sz w:val="28"/>
          <w:lang w:val="pl-PL"/>
        </w:rPr>
        <w:t>a) Tham mưu cho Thống đốc Ngân hàng Nhà nước xây dựng chính sách khuyến khích các tổ chức tín dụng mở chi nhánh, phòng giao dịch tại khu vực nông thôn (đặc biệt vùng sâu, vùng xa, vùng đặc biệt khó khăn) trên cơ sở các tổ chức tín dụng đáp ứng các điều kiện theo quy định của pháp luật hiện hành và hướng dẫn của Ngân hàng Nhà nước về mở rộng mạng lưới của tổ chức tín dụng trong từng thời kỳ;</w:t>
      </w:r>
    </w:p>
    <w:p w:rsidR="00986DFF" w:rsidRPr="00BA7100" w:rsidRDefault="00986DFF" w:rsidP="004C1425">
      <w:pPr>
        <w:spacing w:before="120" w:after="120" w:line="400" w:lineRule="exact"/>
        <w:ind w:firstLine="567"/>
        <w:jc w:val="both"/>
        <w:rPr>
          <w:sz w:val="28"/>
          <w:lang w:val="pl-PL"/>
        </w:rPr>
      </w:pPr>
      <w:r w:rsidRPr="00BA7100">
        <w:rPr>
          <w:sz w:val="28"/>
          <w:lang w:val="pl-PL"/>
        </w:rPr>
        <w:lastRenderedPageBreak/>
        <w:t>b) Thực hiện thanh tra, giám sát việc cho vay đối với lĩnh vực nông nghiệp, nông thôn theo quy định của pháp luật;</w:t>
      </w:r>
    </w:p>
    <w:p w:rsidR="00986DFF" w:rsidRPr="00BA7100" w:rsidRDefault="00986DFF" w:rsidP="004C1425">
      <w:pPr>
        <w:spacing w:before="120" w:after="120" w:line="400" w:lineRule="exact"/>
        <w:ind w:firstLine="567"/>
        <w:jc w:val="both"/>
        <w:rPr>
          <w:sz w:val="28"/>
          <w:lang w:val="pl-PL"/>
        </w:rPr>
      </w:pPr>
      <w:r w:rsidRPr="00BA7100">
        <w:rPr>
          <w:sz w:val="28"/>
          <w:lang w:val="pl-PL"/>
        </w:rPr>
        <w:t>Phối hợp với Vụ Tín dụng các ngành kinh tế và các đơn vị có liên quan xử lý các vấn đề phát sinh trong quá trình triển khai thực hiện Thông tư này.</w:t>
      </w:r>
    </w:p>
    <w:p w:rsidR="00986DFF" w:rsidRPr="00BA7100" w:rsidRDefault="00986DFF" w:rsidP="004C1425">
      <w:pPr>
        <w:spacing w:before="120" w:after="120" w:line="400" w:lineRule="exact"/>
        <w:ind w:firstLine="567"/>
        <w:jc w:val="both"/>
        <w:rPr>
          <w:sz w:val="28"/>
          <w:lang w:val="pl-PL"/>
        </w:rPr>
      </w:pPr>
      <w:r w:rsidRPr="00BA7100">
        <w:rPr>
          <w:sz w:val="28"/>
          <w:lang w:val="pl-PL"/>
        </w:rPr>
        <w:t>4. Ngân hàng Nhà nước chi nhánh tỉnh, thành phố trực thuộc Trung ương</w:t>
      </w:r>
    </w:p>
    <w:p w:rsidR="00986DFF" w:rsidRPr="00BA7100" w:rsidRDefault="00986DFF" w:rsidP="004C1425">
      <w:pPr>
        <w:spacing w:before="120" w:after="120" w:line="400" w:lineRule="exact"/>
        <w:ind w:firstLine="567"/>
        <w:jc w:val="both"/>
        <w:rPr>
          <w:sz w:val="28"/>
          <w:lang w:val="pl-PL"/>
        </w:rPr>
      </w:pPr>
      <w:r w:rsidRPr="00BA7100">
        <w:rPr>
          <w:sz w:val="28"/>
          <w:lang w:val="pl-PL"/>
        </w:rPr>
        <w:t>a) Theo dõi và phối hợp với các đơn vị có liên quan xử lý các vấn đề phát sinh trong việc triển khai chính sách tín dụng phục vụ phát triển nông nghiệp, nông thôn trên địa bàn;</w:t>
      </w:r>
    </w:p>
    <w:p w:rsidR="00B5698B" w:rsidRPr="00BA7100" w:rsidRDefault="00B5698B" w:rsidP="004C1425">
      <w:pPr>
        <w:spacing w:before="120" w:after="120" w:line="400" w:lineRule="exact"/>
        <w:ind w:firstLine="567"/>
        <w:jc w:val="both"/>
        <w:rPr>
          <w:sz w:val="28"/>
          <w:lang w:val="pl-PL"/>
        </w:rPr>
      </w:pPr>
      <w:r w:rsidRPr="00FD74FC">
        <w:rPr>
          <w:sz w:val="28"/>
          <w:lang w:val="pl-PL"/>
        </w:rPr>
        <w:t xml:space="preserve">b) </w:t>
      </w:r>
      <w:r w:rsidR="000653B7" w:rsidRPr="00B639F6">
        <w:rPr>
          <w:sz w:val="28"/>
          <w:szCs w:val="28"/>
          <w:vertAlign w:val="superscript"/>
        </w:rPr>
        <w:footnoteReference w:id="14"/>
      </w:r>
      <w:r w:rsidRPr="00FD74FC">
        <w:rPr>
          <w:sz w:val="28"/>
          <w:lang w:val="pl-PL"/>
        </w:rPr>
        <w:t xml:space="preserve">Chủ trì, phối hợp với Sở Tài chính kiểm tra, xác nhận, rà soát, tổng hợp hồ sơ, số liệu, đối tượng khách hàng đề nghị khoanh nợ của tổ chức tín dụng để tham mưu Ủy ban nhân dân cấp tỉnh báo cáo Thủ tướng Chính phủ, Ngân hàng Nhà nước và Bộ Tài chính theo quy định tại khoản 3 Điều 12 Nghị định số 55/2015/NĐ-CP </w:t>
      </w:r>
      <w:r w:rsidRPr="00FD74FC">
        <w:rPr>
          <w:bCs/>
          <w:color w:val="000000"/>
          <w:sz w:val="28"/>
          <w:shd w:val="clear" w:color="auto" w:fill="FFFFFF"/>
          <w:lang w:val="pl-PL"/>
        </w:rPr>
        <w:t>(đã được bổ sung bởi khoản 6 Điều 1 Nghị định số 116/2018/NĐ-CP)</w:t>
      </w:r>
      <w:r w:rsidR="003C2434">
        <w:rPr>
          <w:sz w:val="28"/>
          <w:lang w:val="pl-PL"/>
        </w:rPr>
        <w:t>;</w:t>
      </w:r>
    </w:p>
    <w:p w:rsidR="00986DFF" w:rsidRPr="00BA7100" w:rsidRDefault="00986DFF" w:rsidP="004C1425">
      <w:pPr>
        <w:spacing w:before="120" w:after="120" w:line="400" w:lineRule="exact"/>
        <w:ind w:firstLine="567"/>
        <w:jc w:val="both"/>
        <w:rPr>
          <w:sz w:val="28"/>
          <w:lang w:val="pl-PL"/>
        </w:rPr>
      </w:pPr>
      <w:r w:rsidRPr="00BA7100">
        <w:rPr>
          <w:sz w:val="28"/>
          <w:lang w:val="pl-PL"/>
        </w:rPr>
        <w:t>c) Thực hiện hoặc phối hợp thực hiện công tác thanh tra, giám sát việc cho vay đối với lĩnh vực nông nghiệp, nông thôn theo quy định;</w:t>
      </w:r>
    </w:p>
    <w:p w:rsidR="000653B7" w:rsidRPr="00BA7100" w:rsidRDefault="00986DFF" w:rsidP="004C1425">
      <w:pPr>
        <w:spacing w:before="120" w:after="120" w:line="400" w:lineRule="exact"/>
        <w:ind w:firstLine="567"/>
        <w:jc w:val="both"/>
        <w:rPr>
          <w:sz w:val="28"/>
          <w:lang w:val="pl-PL"/>
        </w:rPr>
      </w:pPr>
      <w:r w:rsidRPr="00BA7100">
        <w:rPr>
          <w:sz w:val="28"/>
          <w:lang w:val="pl-PL"/>
        </w:rPr>
        <w:t xml:space="preserve">d) </w:t>
      </w:r>
      <w:r w:rsidR="000653B7" w:rsidRPr="00B639F6">
        <w:rPr>
          <w:sz w:val="28"/>
          <w:szCs w:val="28"/>
          <w:vertAlign w:val="superscript"/>
        </w:rPr>
        <w:footnoteReference w:id="15"/>
      </w:r>
      <w:r w:rsidR="000653B7" w:rsidRPr="00BA7100">
        <w:rPr>
          <w:sz w:val="28"/>
          <w:lang w:val="pl-PL"/>
        </w:rPr>
        <w:t xml:space="preserve"> (được bãi bỏ)</w:t>
      </w:r>
    </w:p>
    <w:p w:rsidR="00986DFF" w:rsidRPr="00BA7100" w:rsidRDefault="00986DFF" w:rsidP="004C1425">
      <w:pPr>
        <w:spacing w:before="120" w:after="120" w:line="400" w:lineRule="exact"/>
        <w:ind w:firstLine="567"/>
        <w:jc w:val="both"/>
        <w:rPr>
          <w:sz w:val="28"/>
          <w:lang w:val="pl-PL"/>
        </w:rPr>
      </w:pPr>
      <w:r w:rsidRPr="00BA7100">
        <w:rPr>
          <w:b/>
          <w:bCs/>
          <w:sz w:val="28"/>
          <w:lang w:val="pl-PL"/>
        </w:rPr>
        <w:t>Điều 9. Điều khoản thi hành</w:t>
      </w:r>
      <w:r w:rsidR="00997948" w:rsidRPr="00B639F6">
        <w:rPr>
          <w:sz w:val="28"/>
          <w:szCs w:val="28"/>
          <w:vertAlign w:val="superscript"/>
        </w:rPr>
        <w:footnoteReference w:id="16"/>
      </w:r>
    </w:p>
    <w:p w:rsidR="00986DFF" w:rsidRPr="00BA7100" w:rsidRDefault="00986DFF" w:rsidP="004C1425">
      <w:pPr>
        <w:spacing w:before="120" w:after="120" w:line="400" w:lineRule="exact"/>
        <w:ind w:firstLine="567"/>
        <w:jc w:val="both"/>
        <w:rPr>
          <w:sz w:val="28"/>
          <w:lang w:val="pl-PL"/>
        </w:rPr>
      </w:pPr>
      <w:r w:rsidRPr="00BA7100">
        <w:rPr>
          <w:sz w:val="28"/>
          <w:lang w:val="pl-PL"/>
        </w:rPr>
        <w:lastRenderedPageBreak/>
        <w:t>1. Thông tư này có hiệu lực thi hành kể từ ngày 25 tháng 7 năm 2015.</w:t>
      </w:r>
    </w:p>
    <w:p w:rsidR="00986DFF" w:rsidRPr="00BA7100" w:rsidRDefault="00986DFF" w:rsidP="004C1425">
      <w:pPr>
        <w:spacing w:before="120" w:after="120" w:line="400" w:lineRule="exact"/>
        <w:ind w:firstLine="567"/>
        <w:jc w:val="both"/>
        <w:rPr>
          <w:sz w:val="28"/>
          <w:lang w:val="pl-PL"/>
        </w:rPr>
      </w:pPr>
      <w:r w:rsidRPr="00BA7100">
        <w:rPr>
          <w:sz w:val="28"/>
          <w:lang w:val="pl-PL"/>
        </w:rPr>
        <w:t>2. Thông tư này thay thế Thông tư số 14/2010/TT-NHNN ngày 14 tháng 6 năm 2010 của Ngân hàng Nhà nước hướng dẫn chi tiết thực hiện Nghị định số 41/2010/NĐ-CP ngày 12 tháng 4 năm 2010 của Chính phủ về chính sách tín dụng phục vụ phát triển nông nghiệp, nông thôn.</w:t>
      </w:r>
    </w:p>
    <w:p w:rsidR="000653B7" w:rsidRPr="00BA7100" w:rsidRDefault="00986DFF" w:rsidP="000F6BDC">
      <w:pPr>
        <w:spacing w:before="120" w:after="120" w:line="400" w:lineRule="exact"/>
        <w:ind w:firstLine="567"/>
        <w:jc w:val="both"/>
        <w:rPr>
          <w:sz w:val="28"/>
          <w:lang w:val="pl-PL"/>
        </w:rPr>
      </w:pPr>
      <w:r w:rsidRPr="00BA7100">
        <w:rPr>
          <w:sz w:val="28"/>
          <w:lang w:val="pl-PL"/>
        </w:rPr>
        <w:t>3. Chánh Văn phòng, Vụ trưởng Vụ Tín dụng các ngành kinh tế, Thủ trưởng các đơn vị có liên quan thuộc Ngân hàng Nhà nước, Giám đốc Ngân hàng Nhà nước chi nhánh tỉnh, thành phố trực thuộc Trung ương, Chủ tịch Hội đồng quản trị, Chủ tịch Hội đồng thành viên, Tổng Giám đốc (Giám đốc) các tổ chức tín dụng chịu trách nhiệm tổ</w:t>
      </w:r>
      <w:r w:rsidR="000F6BDC" w:rsidRPr="00BA7100">
        <w:rPr>
          <w:sz w:val="28"/>
          <w:lang w:val="pl-PL"/>
        </w:rPr>
        <w:t xml:space="preserve"> chức thực hiện Thông tư này./.</w:t>
      </w:r>
    </w:p>
    <w:tbl>
      <w:tblPr>
        <w:tblW w:w="0" w:type="auto"/>
        <w:tblCellMar>
          <w:left w:w="0" w:type="dxa"/>
          <w:right w:w="0" w:type="dxa"/>
        </w:tblCellMar>
        <w:tblLook w:val="04A0"/>
      </w:tblPr>
      <w:tblGrid>
        <w:gridCol w:w="5408"/>
        <w:gridCol w:w="3879"/>
      </w:tblGrid>
      <w:tr w:rsidR="000653B7" w:rsidRPr="008B7F7F" w:rsidTr="000653B7">
        <w:tc>
          <w:tcPr>
            <w:tcW w:w="5408" w:type="dxa"/>
            <w:tcMar>
              <w:top w:w="0" w:type="dxa"/>
              <w:left w:w="108" w:type="dxa"/>
              <w:bottom w:w="0" w:type="dxa"/>
              <w:right w:w="108" w:type="dxa"/>
            </w:tcMar>
            <w:hideMark/>
          </w:tcPr>
          <w:p w:rsidR="000653B7" w:rsidRPr="00BA7100" w:rsidRDefault="000653B7" w:rsidP="00E71CC7">
            <w:pPr>
              <w:spacing w:before="120" w:after="100" w:afterAutospacing="1" w:line="400" w:lineRule="exact"/>
              <w:rPr>
                <w:sz w:val="28"/>
                <w:szCs w:val="28"/>
                <w:lang w:val="pl-PL"/>
              </w:rPr>
            </w:pPr>
          </w:p>
        </w:tc>
        <w:tc>
          <w:tcPr>
            <w:tcW w:w="3879" w:type="dxa"/>
            <w:tcMar>
              <w:top w:w="0" w:type="dxa"/>
              <w:left w:w="108" w:type="dxa"/>
              <w:bottom w:w="0" w:type="dxa"/>
              <w:right w:w="108" w:type="dxa"/>
            </w:tcMar>
            <w:hideMark/>
          </w:tcPr>
          <w:p w:rsidR="00D96D69" w:rsidRPr="00BA7100" w:rsidRDefault="00234F3D" w:rsidP="00E71CC7">
            <w:pPr>
              <w:spacing w:before="120" w:after="100" w:afterAutospacing="1" w:line="400" w:lineRule="exact"/>
              <w:jc w:val="center"/>
              <w:rPr>
                <w:b/>
                <w:bCs/>
                <w:sz w:val="28"/>
                <w:szCs w:val="28"/>
                <w:lang w:val="pl-PL"/>
              </w:rPr>
            </w:pPr>
            <w:r w:rsidRPr="00BA7100">
              <w:rPr>
                <w:b/>
                <w:bCs/>
                <w:sz w:val="28"/>
                <w:szCs w:val="28"/>
                <w:lang w:val="pl-PL"/>
              </w:rPr>
              <w:t xml:space="preserve">                         </w:t>
            </w:r>
            <w:r w:rsidR="008B7F7F" w:rsidRPr="00BA7100">
              <w:rPr>
                <w:b/>
                <w:bCs/>
                <w:sz w:val="28"/>
                <w:szCs w:val="28"/>
                <w:lang w:val="pl-PL"/>
              </w:rPr>
              <w:t xml:space="preserve"> </w:t>
            </w:r>
          </w:p>
          <w:p w:rsidR="00D96D69" w:rsidRPr="00BA7100" w:rsidRDefault="00D96D69" w:rsidP="00E71CC7">
            <w:pPr>
              <w:spacing w:before="120" w:after="100" w:afterAutospacing="1" w:line="400" w:lineRule="exact"/>
              <w:jc w:val="center"/>
              <w:rPr>
                <w:b/>
                <w:bCs/>
                <w:sz w:val="28"/>
                <w:szCs w:val="28"/>
                <w:lang w:val="pl-PL"/>
              </w:rPr>
            </w:pPr>
          </w:p>
          <w:p w:rsidR="00040617" w:rsidRPr="00BA7100" w:rsidRDefault="00D96D69" w:rsidP="00E71CC7">
            <w:pPr>
              <w:spacing w:before="120" w:after="100" w:afterAutospacing="1" w:line="400" w:lineRule="exact"/>
              <w:jc w:val="center"/>
              <w:rPr>
                <w:b/>
                <w:bCs/>
                <w:sz w:val="28"/>
                <w:szCs w:val="28"/>
                <w:lang w:val="pl-PL"/>
              </w:rPr>
            </w:pPr>
            <w:r w:rsidRPr="00BA7100">
              <w:rPr>
                <w:b/>
                <w:bCs/>
                <w:sz w:val="28"/>
                <w:szCs w:val="28"/>
                <w:lang w:val="pl-PL"/>
              </w:rPr>
              <w:t xml:space="preserve">                    </w:t>
            </w:r>
            <w:r w:rsidR="00040617" w:rsidRPr="00BA7100">
              <w:rPr>
                <w:b/>
                <w:bCs/>
                <w:sz w:val="28"/>
                <w:szCs w:val="28"/>
                <w:lang w:val="pl-PL"/>
              </w:rPr>
              <w:t xml:space="preserve">      </w:t>
            </w:r>
          </w:p>
          <w:p w:rsidR="00040617" w:rsidRPr="00BA7100" w:rsidRDefault="00040617" w:rsidP="00E71CC7">
            <w:pPr>
              <w:spacing w:before="120" w:after="100" w:afterAutospacing="1" w:line="400" w:lineRule="exact"/>
              <w:jc w:val="center"/>
              <w:rPr>
                <w:b/>
                <w:bCs/>
                <w:sz w:val="28"/>
                <w:szCs w:val="28"/>
                <w:lang w:val="pl-PL"/>
              </w:rPr>
            </w:pPr>
          </w:p>
          <w:p w:rsidR="000653B7" w:rsidRPr="008B7F7F" w:rsidRDefault="00040617" w:rsidP="00040617">
            <w:pPr>
              <w:spacing w:before="120" w:after="100" w:afterAutospacing="1" w:line="400" w:lineRule="exact"/>
              <w:jc w:val="center"/>
              <w:rPr>
                <w:sz w:val="28"/>
                <w:szCs w:val="28"/>
              </w:rPr>
            </w:pPr>
            <w:r w:rsidRPr="00BA7100">
              <w:rPr>
                <w:b/>
                <w:bCs/>
                <w:sz w:val="28"/>
                <w:szCs w:val="28"/>
                <w:lang w:val="pl-PL"/>
              </w:rPr>
              <w:lastRenderedPageBreak/>
              <w:t xml:space="preserve">                           </w:t>
            </w:r>
            <w:r w:rsidR="000653B7" w:rsidRPr="008B7F7F">
              <w:rPr>
                <w:b/>
                <w:bCs/>
                <w:sz w:val="28"/>
                <w:szCs w:val="28"/>
              </w:rPr>
              <w:t>Mẫu biểu 01</w:t>
            </w:r>
            <w:r w:rsidR="003D45BD" w:rsidRPr="00B639F6">
              <w:rPr>
                <w:sz w:val="28"/>
                <w:szCs w:val="28"/>
                <w:vertAlign w:val="superscript"/>
              </w:rPr>
              <w:footnoteReference w:id="17"/>
            </w:r>
          </w:p>
        </w:tc>
      </w:tr>
    </w:tbl>
    <w:p w:rsidR="000653B7" w:rsidRPr="003D45BD" w:rsidRDefault="003D45BD" w:rsidP="00E71CC7">
      <w:pPr>
        <w:tabs>
          <w:tab w:val="left" w:pos="8010"/>
        </w:tabs>
        <w:spacing w:before="120" w:after="100" w:afterAutospacing="1" w:line="400" w:lineRule="exact"/>
        <w:ind w:left="7470"/>
        <w:rPr>
          <w:i/>
          <w:sz w:val="28"/>
          <w:szCs w:val="28"/>
        </w:rPr>
      </w:pPr>
      <w:r w:rsidRPr="008B7F7F">
        <w:rPr>
          <w:i/>
          <w:sz w:val="28"/>
          <w:szCs w:val="28"/>
        </w:rPr>
        <w:lastRenderedPageBreak/>
        <w:t>(được bãi bỏ)</w:t>
      </w:r>
      <w:r w:rsidR="008B7F7F" w:rsidRPr="008B7F7F">
        <w:rPr>
          <w:sz w:val="28"/>
          <w:szCs w:val="28"/>
        </w:rPr>
        <w:t xml:space="preserve">                                                                                                         </w:t>
      </w:r>
      <w:r w:rsidR="008B7F7F">
        <w:rPr>
          <w:sz w:val="28"/>
          <w:szCs w:val="28"/>
        </w:rPr>
        <w:t xml:space="preserve">                 </w:t>
      </w:r>
    </w:p>
    <w:tbl>
      <w:tblPr>
        <w:tblW w:w="0" w:type="auto"/>
        <w:tblCellMar>
          <w:left w:w="0" w:type="dxa"/>
          <w:right w:w="0" w:type="dxa"/>
        </w:tblCellMar>
        <w:tblLook w:val="04A0"/>
      </w:tblPr>
      <w:tblGrid>
        <w:gridCol w:w="5708"/>
        <w:gridCol w:w="3579"/>
      </w:tblGrid>
      <w:tr w:rsidR="000653B7" w:rsidRPr="008B7F7F" w:rsidTr="000653B7">
        <w:tc>
          <w:tcPr>
            <w:tcW w:w="5708" w:type="dxa"/>
            <w:tcMar>
              <w:top w:w="0" w:type="dxa"/>
              <w:left w:w="108" w:type="dxa"/>
              <w:bottom w:w="0" w:type="dxa"/>
              <w:right w:w="108" w:type="dxa"/>
            </w:tcMar>
            <w:hideMark/>
          </w:tcPr>
          <w:p w:rsidR="000653B7" w:rsidRPr="008B7F7F" w:rsidRDefault="000653B7" w:rsidP="00E71CC7">
            <w:pPr>
              <w:spacing w:before="120" w:after="100" w:afterAutospacing="1" w:line="400" w:lineRule="exact"/>
              <w:rPr>
                <w:sz w:val="28"/>
                <w:szCs w:val="28"/>
              </w:rPr>
            </w:pPr>
          </w:p>
        </w:tc>
        <w:tc>
          <w:tcPr>
            <w:tcW w:w="3579" w:type="dxa"/>
            <w:tcMar>
              <w:top w:w="0" w:type="dxa"/>
              <w:left w:w="108" w:type="dxa"/>
              <w:bottom w:w="0" w:type="dxa"/>
              <w:right w:w="108" w:type="dxa"/>
            </w:tcMar>
            <w:hideMark/>
          </w:tcPr>
          <w:p w:rsidR="000653B7" w:rsidRPr="008B7F7F" w:rsidRDefault="000653B7" w:rsidP="00E71CC7">
            <w:pPr>
              <w:spacing w:before="120" w:after="100" w:afterAutospacing="1" w:line="400" w:lineRule="exact"/>
              <w:jc w:val="right"/>
              <w:rPr>
                <w:sz w:val="28"/>
                <w:szCs w:val="28"/>
              </w:rPr>
            </w:pPr>
            <w:r w:rsidRPr="008B7F7F">
              <w:rPr>
                <w:b/>
                <w:bCs/>
                <w:sz w:val="28"/>
                <w:szCs w:val="28"/>
              </w:rPr>
              <w:t>Mẫu biểu 02</w:t>
            </w:r>
            <w:r w:rsidR="003D45BD" w:rsidRPr="00B639F6">
              <w:rPr>
                <w:sz w:val="28"/>
                <w:szCs w:val="28"/>
                <w:vertAlign w:val="superscript"/>
              </w:rPr>
              <w:footnoteReference w:id="18"/>
            </w:r>
          </w:p>
        </w:tc>
      </w:tr>
    </w:tbl>
    <w:p w:rsidR="000653B7" w:rsidRPr="008B7F7F" w:rsidRDefault="000653B7" w:rsidP="00E71CC7">
      <w:pPr>
        <w:tabs>
          <w:tab w:val="left" w:pos="8070"/>
        </w:tabs>
        <w:spacing w:before="120" w:after="100" w:afterAutospacing="1" w:line="400" w:lineRule="exact"/>
        <w:rPr>
          <w:sz w:val="28"/>
          <w:szCs w:val="28"/>
        </w:rPr>
      </w:pPr>
      <w:r w:rsidRPr="008B7F7F">
        <w:rPr>
          <w:sz w:val="28"/>
          <w:szCs w:val="28"/>
        </w:rPr>
        <w:t> </w:t>
      </w:r>
      <w:r w:rsidR="008B7F7F">
        <w:rPr>
          <w:sz w:val="28"/>
          <w:szCs w:val="28"/>
        </w:rPr>
        <w:t xml:space="preserve">                                                                                                          </w:t>
      </w:r>
      <w:r w:rsidR="008B7F7F" w:rsidRPr="008B7F7F">
        <w:rPr>
          <w:i/>
          <w:sz w:val="28"/>
          <w:szCs w:val="28"/>
        </w:rPr>
        <w:t>(được bãi bỏ)</w:t>
      </w:r>
    </w:p>
    <w:tbl>
      <w:tblPr>
        <w:tblW w:w="0" w:type="auto"/>
        <w:tblCellMar>
          <w:left w:w="0" w:type="dxa"/>
          <w:right w:w="0" w:type="dxa"/>
        </w:tblCellMar>
        <w:tblLook w:val="04A0"/>
      </w:tblPr>
      <w:tblGrid>
        <w:gridCol w:w="5608"/>
        <w:gridCol w:w="3679"/>
      </w:tblGrid>
      <w:tr w:rsidR="000653B7" w:rsidRPr="008B7F7F" w:rsidTr="00D96D69">
        <w:tc>
          <w:tcPr>
            <w:tcW w:w="5608" w:type="dxa"/>
            <w:tcMar>
              <w:top w:w="0" w:type="dxa"/>
              <w:left w:w="108" w:type="dxa"/>
              <w:bottom w:w="0" w:type="dxa"/>
              <w:right w:w="108" w:type="dxa"/>
            </w:tcMar>
          </w:tcPr>
          <w:p w:rsidR="000653B7" w:rsidRPr="008B7F7F" w:rsidRDefault="000653B7" w:rsidP="00E71CC7">
            <w:pPr>
              <w:spacing w:before="120" w:after="100" w:afterAutospacing="1" w:line="400" w:lineRule="exact"/>
              <w:rPr>
                <w:sz w:val="28"/>
                <w:szCs w:val="28"/>
              </w:rPr>
            </w:pPr>
          </w:p>
        </w:tc>
        <w:tc>
          <w:tcPr>
            <w:tcW w:w="3679" w:type="dxa"/>
            <w:tcMar>
              <w:top w:w="0" w:type="dxa"/>
              <w:left w:w="108" w:type="dxa"/>
              <w:bottom w:w="0" w:type="dxa"/>
              <w:right w:w="108" w:type="dxa"/>
            </w:tcMar>
          </w:tcPr>
          <w:p w:rsidR="000653B7" w:rsidRPr="008B7F7F" w:rsidRDefault="00D96D69" w:rsidP="00E71CC7">
            <w:pPr>
              <w:spacing w:before="120" w:after="100" w:afterAutospacing="1" w:line="400" w:lineRule="exact"/>
              <w:jc w:val="right"/>
              <w:rPr>
                <w:sz w:val="28"/>
                <w:szCs w:val="28"/>
              </w:rPr>
            </w:pPr>
            <w:r w:rsidRPr="008B7F7F">
              <w:rPr>
                <w:b/>
                <w:bCs/>
                <w:sz w:val="28"/>
                <w:szCs w:val="28"/>
              </w:rPr>
              <w:t>Mẫu biểu 03</w:t>
            </w:r>
            <w:r w:rsidRPr="00B639F6">
              <w:rPr>
                <w:sz w:val="28"/>
                <w:szCs w:val="28"/>
                <w:vertAlign w:val="superscript"/>
              </w:rPr>
              <w:footnoteReference w:id="19"/>
            </w:r>
          </w:p>
        </w:tc>
      </w:tr>
    </w:tbl>
    <w:p w:rsidR="000653B7" w:rsidRPr="008B7F7F" w:rsidRDefault="000653B7" w:rsidP="00E71CC7">
      <w:pPr>
        <w:spacing w:before="120" w:after="100" w:afterAutospacing="1" w:line="400" w:lineRule="exact"/>
        <w:rPr>
          <w:sz w:val="28"/>
          <w:szCs w:val="28"/>
        </w:rPr>
      </w:pPr>
      <w:r w:rsidRPr="008B7F7F">
        <w:rPr>
          <w:sz w:val="28"/>
          <w:szCs w:val="28"/>
        </w:rPr>
        <w:t> </w:t>
      </w:r>
      <w:r w:rsidR="008B7F7F">
        <w:rPr>
          <w:sz w:val="28"/>
          <w:szCs w:val="28"/>
        </w:rPr>
        <w:t xml:space="preserve">                                                                                                          </w:t>
      </w:r>
      <w:r w:rsidR="008B7F7F" w:rsidRPr="008B7F7F">
        <w:rPr>
          <w:i/>
          <w:sz w:val="28"/>
          <w:szCs w:val="28"/>
        </w:rPr>
        <w:t>(được bãi bỏ)</w:t>
      </w:r>
    </w:p>
    <w:tbl>
      <w:tblPr>
        <w:tblW w:w="0" w:type="auto"/>
        <w:tblCellMar>
          <w:left w:w="0" w:type="dxa"/>
          <w:right w:w="0" w:type="dxa"/>
        </w:tblCellMar>
        <w:tblLook w:val="04A0"/>
      </w:tblPr>
      <w:tblGrid>
        <w:gridCol w:w="4541"/>
        <w:gridCol w:w="4746"/>
      </w:tblGrid>
      <w:tr w:rsidR="000653B7" w:rsidRPr="008B7F7F" w:rsidTr="000653B7">
        <w:tc>
          <w:tcPr>
            <w:tcW w:w="7085" w:type="dxa"/>
            <w:tcMar>
              <w:top w:w="0" w:type="dxa"/>
              <w:left w:w="108" w:type="dxa"/>
              <w:bottom w:w="0" w:type="dxa"/>
              <w:right w:w="108" w:type="dxa"/>
            </w:tcMar>
            <w:hideMark/>
          </w:tcPr>
          <w:p w:rsidR="000653B7" w:rsidRPr="008B7F7F" w:rsidRDefault="000653B7" w:rsidP="00E71CC7">
            <w:pPr>
              <w:spacing w:before="120" w:after="100" w:afterAutospacing="1" w:line="400" w:lineRule="exact"/>
              <w:rPr>
                <w:sz w:val="28"/>
                <w:szCs w:val="28"/>
              </w:rPr>
            </w:pPr>
          </w:p>
        </w:tc>
        <w:tc>
          <w:tcPr>
            <w:tcW w:w="7085" w:type="dxa"/>
            <w:tcMar>
              <w:top w:w="0" w:type="dxa"/>
              <w:left w:w="108" w:type="dxa"/>
              <w:bottom w:w="0" w:type="dxa"/>
              <w:right w:w="108" w:type="dxa"/>
            </w:tcMar>
            <w:hideMark/>
          </w:tcPr>
          <w:p w:rsidR="000653B7" w:rsidRPr="008B7F7F" w:rsidRDefault="000653B7" w:rsidP="00E71CC7">
            <w:pPr>
              <w:spacing w:before="120" w:after="100" w:afterAutospacing="1" w:line="400" w:lineRule="exact"/>
              <w:jc w:val="right"/>
              <w:rPr>
                <w:sz w:val="28"/>
                <w:szCs w:val="28"/>
              </w:rPr>
            </w:pPr>
            <w:r w:rsidRPr="008B7F7F">
              <w:rPr>
                <w:b/>
                <w:bCs/>
                <w:sz w:val="28"/>
                <w:szCs w:val="28"/>
              </w:rPr>
              <w:t>Mẫu biểu 04</w:t>
            </w:r>
            <w:r w:rsidR="003D45BD" w:rsidRPr="00B639F6">
              <w:rPr>
                <w:sz w:val="28"/>
                <w:szCs w:val="28"/>
                <w:vertAlign w:val="superscript"/>
              </w:rPr>
              <w:footnoteReference w:id="20"/>
            </w:r>
          </w:p>
        </w:tc>
      </w:tr>
    </w:tbl>
    <w:p w:rsidR="000653B7" w:rsidRPr="008B7F7F" w:rsidRDefault="008B7F7F" w:rsidP="004C1425">
      <w:pPr>
        <w:spacing w:before="120" w:after="100" w:afterAutospacing="1" w:line="400" w:lineRule="exact"/>
        <w:rPr>
          <w:sz w:val="28"/>
          <w:szCs w:val="28"/>
        </w:rPr>
      </w:pPr>
      <w:r>
        <w:rPr>
          <w:sz w:val="28"/>
          <w:szCs w:val="28"/>
        </w:rPr>
        <w:t xml:space="preserve">                                                                                                          </w:t>
      </w:r>
      <w:r w:rsidR="000653B7" w:rsidRPr="008B7F7F">
        <w:rPr>
          <w:sz w:val="28"/>
          <w:szCs w:val="28"/>
        </w:rPr>
        <w:t> </w:t>
      </w:r>
      <w:r w:rsidRPr="008B7F7F">
        <w:rPr>
          <w:i/>
          <w:sz w:val="28"/>
          <w:szCs w:val="28"/>
        </w:rPr>
        <w:t>(được bãi bỏ)</w:t>
      </w:r>
    </w:p>
    <w:tbl>
      <w:tblPr>
        <w:tblW w:w="9287" w:type="dxa"/>
        <w:tblCellMar>
          <w:left w:w="0" w:type="dxa"/>
          <w:right w:w="0" w:type="dxa"/>
        </w:tblCellMar>
        <w:tblLook w:val="04A0"/>
      </w:tblPr>
      <w:tblGrid>
        <w:gridCol w:w="4467"/>
        <w:gridCol w:w="1341"/>
        <w:gridCol w:w="3327"/>
        <w:gridCol w:w="152"/>
      </w:tblGrid>
      <w:tr w:rsidR="000653B7" w:rsidRPr="008B7F7F" w:rsidTr="00040617">
        <w:trPr>
          <w:gridAfter w:val="1"/>
          <w:wAfter w:w="152" w:type="dxa"/>
          <w:trHeight w:val="695"/>
        </w:trPr>
        <w:tc>
          <w:tcPr>
            <w:tcW w:w="4467" w:type="dxa"/>
            <w:tcMar>
              <w:top w:w="0" w:type="dxa"/>
              <w:left w:w="108" w:type="dxa"/>
              <w:bottom w:w="0" w:type="dxa"/>
              <w:right w:w="108" w:type="dxa"/>
            </w:tcMar>
            <w:hideMark/>
          </w:tcPr>
          <w:p w:rsidR="000653B7" w:rsidRPr="008B7F7F" w:rsidRDefault="000653B7" w:rsidP="00040617">
            <w:pPr>
              <w:spacing w:after="100" w:afterAutospacing="1" w:line="400" w:lineRule="exact"/>
              <w:rPr>
                <w:sz w:val="28"/>
                <w:szCs w:val="28"/>
              </w:rPr>
            </w:pPr>
          </w:p>
        </w:tc>
        <w:tc>
          <w:tcPr>
            <w:tcW w:w="4668" w:type="dxa"/>
            <w:gridSpan w:val="2"/>
            <w:tcMar>
              <w:top w:w="0" w:type="dxa"/>
              <w:left w:w="108" w:type="dxa"/>
              <w:bottom w:w="0" w:type="dxa"/>
              <w:right w:w="108" w:type="dxa"/>
            </w:tcMar>
            <w:hideMark/>
          </w:tcPr>
          <w:p w:rsidR="000653B7" w:rsidRDefault="00040617" w:rsidP="00040617">
            <w:pPr>
              <w:spacing w:line="400" w:lineRule="exact"/>
              <w:jc w:val="right"/>
              <w:rPr>
                <w:b/>
                <w:bCs/>
                <w:sz w:val="28"/>
                <w:szCs w:val="28"/>
              </w:rPr>
            </w:pPr>
            <w:r>
              <w:rPr>
                <w:b/>
                <w:bCs/>
                <w:sz w:val="28"/>
                <w:szCs w:val="28"/>
              </w:rPr>
              <w:t xml:space="preserve">       </w:t>
            </w:r>
            <w:r w:rsidR="000653B7" w:rsidRPr="008B7F7F">
              <w:rPr>
                <w:b/>
                <w:bCs/>
                <w:sz w:val="28"/>
                <w:szCs w:val="28"/>
              </w:rPr>
              <w:t>Mẫu biểu 05</w:t>
            </w:r>
            <w:r w:rsidR="003D45BD" w:rsidRPr="00B639F6">
              <w:rPr>
                <w:sz w:val="28"/>
                <w:szCs w:val="28"/>
                <w:vertAlign w:val="superscript"/>
              </w:rPr>
              <w:footnoteReference w:id="21"/>
            </w:r>
          </w:p>
          <w:p w:rsidR="00040617" w:rsidRPr="00040617" w:rsidRDefault="00040617" w:rsidP="00040617">
            <w:pPr>
              <w:spacing w:before="120" w:after="120" w:line="400" w:lineRule="exact"/>
              <w:jc w:val="right"/>
              <w:rPr>
                <w:sz w:val="28"/>
                <w:szCs w:val="28"/>
              </w:rPr>
            </w:pPr>
            <w:r w:rsidRPr="008B7F7F">
              <w:rPr>
                <w:i/>
                <w:sz w:val="28"/>
                <w:szCs w:val="28"/>
              </w:rPr>
              <w:t>(được bãi bỏ)</w:t>
            </w:r>
          </w:p>
        </w:tc>
      </w:tr>
      <w:tr w:rsidR="003D45BD" w:rsidRPr="008B7F7F" w:rsidTr="00040617">
        <w:tc>
          <w:tcPr>
            <w:tcW w:w="5808" w:type="dxa"/>
            <w:gridSpan w:val="2"/>
            <w:tcMar>
              <w:top w:w="0" w:type="dxa"/>
              <w:left w:w="108" w:type="dxa"/>
              <w:bottom w:w="0" w:type="dxa"/>
              <w:right w:w="108" w:type="dxa"/>
            </w:tcMar>
            <w:hideMark/>
          </w:tcPr>
          <w:p w:rsidR="003D45BD" w:rsidRPr="008B7F7F" w:rsidRDefault="003D45BD" w:rsidP="004C1425">
            <w:pPr>
              <w:spacing w:before="120" w:after="100" w:afterAutospacing="1" w:line="400" w:lineRule="exact"/>
              <w:rPr>
                <w:sz w:val="28"/>
                <w:szCs w:val="28"/>
              </w:rPr>
            </w:pPr>
          </w:p>
        </w:tc>
        <w:tc>
          <w:tcPr>
            <w:tcW w:w="3479" w:type="dxa"/>
            <w:gridSpan w:val="2"/>
            <w:tcMar>
              <w:top w:w="0" w:type="dxa"/>
              <w:left w:w="108" w:type="dxa"/>
              <w:bottom w:w="0" w:type="dxa"/>
              <w:right w:w="108" w:type="dxa"/>
            </w:tcMar>
            <w:hideMark/>
          </w:tcPr>
          <w:p w:rsidR="003D45BD" w:rsidRDefault="00040617" w:rsidP="00040617">
            <w:pPr>
              <w:spacing w:before="120" w:after="100" w:afterAutospacing="1" w:line="400" w:lineRule="exact"/>
              <w:jc w:val="center"/>
              <w:rPr>
                <w:b/>
                <w:bCs/>
                <w:sz w:val="28"/>
                <w:szCs w:val="28"/>
              </w:rPr>
            </w:pPr>
            <w:r>
              <w:rPr>
                <w:b/>
                <w:bCs/>
                <w:sz w:val="28"/>
                <w:szCs w:val="28"/>
              </w:rPr>
              <w:t xml:space="preserve">                     </w:t>
            </w:r>
            <w:r w:rsidR="003D45BD" w:rsidRPr="008B7F7F">
              <w:rPr>
                <w:b/>
                <w:bCs/>
                <w:sz w:val="28"/>
                <w:szCs w:val="28"/>
              </w:rPr>
              <w:t>Mẫu biểu 06</w:t>
            </w:r>
            <w:r w:rsidR="003D45BD" w:rsidRPr="00B639F6">
              <w:rPr>
                <w:sz w:val="28"/>
                <w:szCs w:val="28"/>
                <w:vertAlign w:val="superscript"/>
              </w:rPr>
              <w:footnoteReference w:id="22"/>
            </w:r>
          </w:p>
          <w:p w:rsidR="004C1425" w:rsidRPr="000F6BDC" w:rsidRDefault="00040617" w:rsidP="00115C09">
            <w:pPr>
              <w:spacing w:before="120" w:after="100" w:afterAutospacing="1" w:line="400" w:lineRule="exact"/>
              <w:jc w:val="center"/>
              <w:rPr>
                <w:i/>
                <w:sz w:val="28"/>
                <w:szCs w:val="28"/>
              </w:rPr>
            </w:pPr>
            <w:r>
              <w:rPr>
                <w:sz w:val="28"/>
                <w:szCs w:val="28"/>
              </w:rPr>
              <w:t xml:space="preserve">                    </w:t>
            </w:r>
            <w:r w:rsidR="000F6BDC">
              <w:rPr>
                <w:sz w:val="28"/>
                <w:szCs w:val="28"/>
              </w:rPr>
              <w:t xml:space="preserve"> </w:t>
            </w:r>
            <w:r w:rsidR="000F6BDC" w:rsidRPr="000F6BDC">
              <w:rPr>
                <w:i/>
                <w:sz w:val="28"/>
                <w:szCs w:val="28"/>
              </w:rPr>
              <w:t>(được bãi bỏ)</w:t>
            </w:r>
          </w:p>
        </w:tc>
      </w:tr>
    </w:tbl>
    <w:p w:rsidR="00997948" w:rsidRDefault="003D45BD" w:rsidP="000653B7">
      <w:pPr>
        <w:spacing w:before="120" w:after="100" w:afterAutospacing="1"/>
      </w:pPr>
      <w:r w:rsidRPr="008B7F7F">
        <w:rPr>
          <w:sz w:val="28"/>
          <w:szCs w:val="28"/>
        </w:rPr>
        <w:t> </w:t>
      </w:r>
      <w:r>
        <w:rPr>
          <w:sz w:val="28"/>
          <w:szCs w:val="28"/>
        </w:rPr>
        <w:tab/>
      </w: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D96D69" w:rsidRDefault="00D96D69" w:rsidP="00997948">
      <w:pPr>
        <w:shd w:val="clear" w:color="auto" w:fill="FFFFFF"/>
        <w:spacing w:before="120" w:after="60" w:line="234" w:lineRule="atLeast"/>
        <w:jc w:val="center"/>
        <w:rPr>
          <w:b/>
          <w:bCs/>
          <w:color w:val="000000"/>
          <w:sz w:val="26"/>
          <w:szCs w:val="26"/>
          <w:lang w:val="sv-SE"/>
        </w:rPr>
      </w:pPr>
    </w:p>
    <w:p w:rsidR="00F35E7A" w:rsidRDefault="00F35E7A" w:rsidP="00F979F3">
      <w:pPr>
        <w:shd w:val="clear" w:color="auto" w:fill="FFFFFF"/>
        <w:spacing w:before="120" w:after="60" w:line="234" w:lineRule="atLeast"/>
        <w:rPr>
          <w:b/>
          <w:bCs/>
          <w:color w:val="000000"/>
          <w:sz w:val="26"/>
          <w:szCs w:val="26"/>
          <w:lang w:val="sv-SE"/>
        </w:rPr>
        <w:sectPr w:rsidR="00F35E7A" w:rsidSect="00040617">
          <w:headerReference w:type="even" r:id="rId10"/>
          <w:headerReference w:type="default" r:id="rId11"/>
          <w:footerReference w:type="even" r:id="rId12"/>
          <w:footerReference w:type="default" r:id="rId13"/>
          <w:headerReference w:type="first" r:id="rId14"/>
          <w:footerReference w:type="first" r:id="rId15"/>
          <w:pgSz w:w="11906" w:h="16838"/>
          <w:pgMar w:top="900" w:right="1134" w:bottom="1134" w:left="1701" w:header="720" w:footer="720" w:gutter="0"/>
          <w:cols w:space="720"/>
          <w:docGrid w:linePitch="326"/>
        </w:sectPr>
      </w:pPr>
    </w:p>
    <w:p w:rsidR="00997948" w:rsidRPr="00F35E7A" w:rsidRDefault="00997948" w:rsidP="00997948">
      <w:pPr>
        <w:shd w:val="clear" w:color="auto" w:fill="FFFFFF"/>
        <w:spacing w:before="120" w:after="60" w:line="234" w:lineRule="atLeast"/>
        <w:jc w:val="center"/>
        <w:rPr>
          <w:b/>
          <w:bCs/>
          <w:color w:val="000000"/>
          <w:sz w:val="22"/>
          <w:szCs w:val="22"/>
          <w:lang w:val="sv-SE"/>
        </w:rPr>
      </w:pPr>
      <w:r w:rsidRPr="00F35E7A">
        <w:rPr>
          <w:b/>
          <w:bCs/>
          <w:color w:val="000000"/>
          <w:sz w:val="22"/>
          <w:szCs w:val="22"/>
          <w:lang w:val="sv-SE"/>
        </w:rPr>
        <w:lastRenderedPageBreak/>
        <w:t xml:space="preserve">BÁO CÁO TÌNH HÌNH CƠ CẤU LẠI THỜI HẠN TRẢ NỢ VÀ GIỮ NGUYÊN NHÓM NỢ </w:t>
      </w:r>
    </w:p>
    <w:p w:rsidR="003D45BD" w:rsidRPr="00F35E7A" w:rsidRDefault="00997948" w:rsidP="00997948">
      <w:pPr>
        <w:shd w:val="clear" w:color="auto" w:fill="FFFFFF"/>
        <w:spacing w:after="120" w:line="234" w:lineRule="atLeast"/>
        <w:jc w:val="center"/>
        <w:rPr>
          <w:color w:val="000000"/>
          <w:sz w:val="22"/>
          <w:szCs w:val="22"/>
          <w:lang w:val="sv-SE"/>
        </w:rPr>
      </w:pPr>
      <w:r w:rsidRPr="00F35E7A">
        <w:rPr>
          <w:b/>
          <w:bCs/>
          <w:color w:val="000000"/>
          <w:sz w:val="22"/>
          <w:szCs w:val="22"/>
          <w:lang w:val="sv-SE"/>
        </w:rPr>
        <w:t>ĐỐI VỚI LĨNH VỰC NÔNG NGHIỆP, NÔNG THÔN</w:t>
      </w:r>
      <w:r w:rsidR="003D45BD" w:rsidRPr="00F35E7A">
        <w:rPr>
          <w:sz w:val="22"/>
          <w:szCs w:val="22"/>
          <w:vertAlign w:val="superscript"/>
        </w:rPr>
        <w:footnoteReference w:id="23"/>
      </w:r>
    </w:p>
    <w:p w:rsidR="00997948" w:rsidRPr="00F35E7A" w:rsidRDefault="003D45BD" w:rsidP="00997948">
      <w:pPr>
        <w:shd w:val="clear" w:color="auto" w:fill="FFFFFF"/>
        <w:spacing w:before="120" w:after="120" w:line="234" w:lineRule="atLeast"/>
        <w:jc w:val="center"/>
        <w:rPr>
          <w:color w:val="000000"/>
          <w:sz w:val="22"/>
          <w:szCs w:val="22"/>
          <w:lang w:val="sv-SE"/>
        </w:rPr>
      </w:pPr>
      <w:r w:rsidRPr="00F35E7A">
        <w:rPr>
          <w:i/>
          <w:iCs/>
          <w:color w:val="000000"/>
          <w:sz w:val="22"/>
          <w:szCs w:val="22"/>
          <w:lang w:val="sv-SE"/>
        </w:rPr>
        <w:t xml:space="preserve"> </w:t>
      </w:r>
      <w:r w:rsidR="00997948" w:rsidRPr="00F35E7A">
        <w:rPr>
          <w:i/>
          <w:iCs/>
          <w:color w:val="000000"/>
          <w:sz w:val="22"/>
          <w:szCs w:val="22"/>
          <w:lang w:val="sv-SE"/>
        </w:rPr>
        <w:t>(Ban hành kèm theo Thông tư số 25/2018/TT-NHNN ngày 24/10/2018 của Thống đốc Ngân hàng Nhà nước Việt Nam)</w:t>
      </w:r>
    </w:p>
    <w:p w:rsidR="00997948" w:rsidRPr="00F35E7A" w:rsidRDefault="00997948" w:rsidP="00997948">
      <w:pPr>
        <w:shd w:val="clear" w:color="auto" w:fill="FFFFFF"/>
        <w:spacing w:before="120" w:after="120" w:line="234" w:lineRule="atLeast"/>
        <w:jc w:val="center"/>
        <w:rPr>
          <w:color w:val="000000"/>
          <w:sz w:val="22"/>
          <w:szCs w:val="22"/>
          <w:lang w:val="sv-SE"/>
        </w:rPr>
      </w:pPr>
      <w:r w:rsidRPr="00F35E7A">
        <w:rPr>
          <w:color w:val="000000"/>
          <w:sz w:val="22"/>
          <w:szCs w:val="22"/>
          <w:lang w:val="sv-SE"/>
        </w:rPr>
        <w:t>Quý …… năm ……</w:t>
      </w:r>
    </w:p>
    <w:p w:rsidR="00D96D69" w:rsidRPr="00F35E7A" w:rsidRDefault="00997948" w:rsidP="00F35E7A">
      <w:pPr>
        <w:shd w:val="clear" w:color="auto" w:fill="FFFFFF"/>
        <w:spacing w:before="120" w:after="120" w:line="234" w:lineRule="atLeast"/>
        <w:jc w:val="right"/>
        <w:rPr>
          <w:i/>
          <w:iCs/>
          <w:color w:val="000000"/>
          <w:sz w:val="26"/>
          <w:szCs w:val="26"/>
          <w:lang w:val="sv-SE"/>
        </w:rPr>
      </w:pPr>
      <w:r w:rsidRPr="00F35E7A">
        <w:rPr>
          <w:i/>
          <w:iCs/>
          <w:color w:val="000000"/>
          <w:sz w:val="22"/>
          <w:szCs w:val="22"/>
          <w:lang w:val="sv-SE"/>
        </w:rPr>
        <w:t>(Đơn vị tính: Triệu đồng, khách hàng</w:t>
      </w:r>
      <w:r w:rsidRPr="00997948">
        <w:rPr>
          <w:i/>
          <w:iCs/>
          <w:color w:val="000000"/>
          <w:sz w:val="26"/>
          <w:szCs w:val="26"/>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
        <w:gridCol w:w="1445"/>
        <w:gridCol w:w="1016"/>
        <w:gridCol w:w="1555"/>
        <w:gridCol w:w="1555"/>
        <w:gridCol w:w="1016"/>
        <w:gridCol w:w="1555"/>
        <w:gridCol w:w="1555"/>
        <w:gridCol w:w="1016"/>
        <w:gridCol w:w="1555"/>
        <w:gridCol w:w="1549"/>
      </w:tblGrid>
      <w:tr w:rsidR="00997948" w:rsidRPr="00997948" w:rsidTr="008E57E8">
        <w:trPr>
          <w:trHeight w:val="330"/>
        </w:trPr>
        <w:tc>
          <w:tcPr>
            <w:tcW w:w="362" w:type="pct"/>
            <w:vMerge w:val="restar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STT</w:t>
            </w:r>
          </w:p>
        </w:tc>
        <w:tc>
          <w:tcPr>
            <w:tcW w:w="485" w:type="pct"/>
            <w:vMerge w:val="restar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Khách hàng</w:t>
            </w:r>
          </w:p>
        </w:tc>
        <w:tc>
          <w:tcPr>
            <w:tcW w:w="1384" w:type="pct"/>
            <w:gridSpan w:val="3"/>
            <w:shd w:val="clear" w:color="auto" w:fill="auto"/>
            <w:vAlign w:val="center"/>
            <w:hideMark/>
          </w:tcPr>
          <w:p w:rsidR="00997948" w:rsidRPr="00F35E7A" w:rsidRDefault="00997948" w:rsidP="00997948">
            <w:pPr>
              <w:jc w:val="center"/>
              <w:rPr>
                <w:b/>
                <w:bCs/>
                <w:color w:val="000000"/>
                <w:sz w:val="22"/>
                <w:szCs w:val="22"/>
              </w:rPr>
            </w:pPr>
            <w:r w:rsidRPr="00F35E7A">
              <w:rPr>
                <w:b/>
                <w:bCs/>
                <w:color w:val="000000"/>
                <w:sz w:val="22"/>
                <w:szCs w:val="22"/>
              </w:rPr>
              <w:t>Nợ ngắn hạn</w:t>
            </w:r>
          </w:p>
        </w:tc>
        <w:tc>
          <w:tcPr>
            <w:tcW w:w="1384" w:type="pct"/>
            <w:gridSpan w:val="3"/>
            <w:shd w:val="clear" w:color="auto" w:fill="auto"/>
            <w:vAlign w:val="center"/>
            <w:hideMark/>
          </w:tcPr>
          <w:p w:rsidR="00997948" w:rsidRPr="00F35E7A" w:rsidRDefault="00997948" w:rsidP="00997948">
            <w:pPr>
              <w:jc w:val="center"/>
              <w:rPr>
                <w:b/>
                <w:bCs/>
                <w:color w:val="000000"/>
                <w:sz w:val="22"/>
                <w:szCs w:val="22"/>
              </w:rPr>
            </w:pPr>
            <w:r w:rsidRPr="00F35E7A">
              <w:rPr>
                <w:b/>
                <w:bCs/>
                <w:color w:val="000000"/>
                <w:sz w:val="22"/>
                <w:szCs w:val="22"/>
              </w:rPr>
              <w:t>Nợ trung, dài hạn</w:t>
            </w:r>
          </w:p>
        </w:tc>
        <w:tc>
          <w:tcPr>
            <w:tcW w:w="1384" w:type="pct"/>
            <w:gridSpan w:val="3"/>
            <w:shd w:val="clear" w:color="auto" w:fill="auto"/>
            <w:vAlign w:val="center"/>
            <w:hideMark/>
          </w:tcPr>
          <w:p w:rsidR="00997948" w:rsidRPr="00F35E7A" w:rsidRDefault="00997948" w:rsidP="00997948">
            <w:pPr>
              <w:jc w:val="center"/>
              <w:rPr>
                <w:b/>
                <w:bCs/>
                <w:color w:val="000000"/>
                <w:sz w:val="22"/>
                <w:szCs w:val="22"/>
              </w:rPr>
            </w:pPr>
            <w:r w:rsidRPr="00F35E7A">
              <w:rPr>
                <w:b/>
                <w:bCs/>
                <w:color w:val="000000"/>
                <w:sz w:val="22"/>
                <w:szCs w:val="22"/>
              </w:rPr>
              <w:t>Tổng cộng</w:t>
            </w:r>
          </w:p>
        </w:tc>
      </w:tr>
      <w:tr w:rsidR="00997948" w:rsidRPr="00997948" w:rsidTr="008E57E8">
        <w:trPr>
          <w:trHeight w:val="2640"/>
        </w:trPr>
        <w:tc>
          <w:tcPr>
            <w:tcW w:w="362" w:type="pct"/>
            <w:vMerge/>
            <w:vAlign w:val="center"/>
            <w:hideMark/>
          </w:tcPr>
          <w:p w:rsidR="00997948" w:rsidRPr="00F35E7A" w:rsidRDefault="00997948" w:rsidP="00997948">
            <w:pPr>
              <w:jc w:val="center"/>
              <w:rPr>
                <w:b/>
                <w:bCs/>
                <w:color w:val="000000"/>
                <w:sz w:val="22"/>
                <w:szCs w:val="22"/>
              </w:rPr>
            </w:pPr>
          </w:p>
        </w:tc>
        <w:tc>
          <w:tcPr>
            <w:tcW w:w="485" w:type="pct"/>
            <w:vMerge/>
            <w:vAlign w:val="center"/>
            <w:hideMark/>
          </w:tcPr>
          <w:p w:rsidR="00997948" w:rsidRPr="00F35E7A" w:rsidRDefault="00997948" w:rsidP="00997948">
            <w:pPr>
              <w:rPr>
                <w:b/>
                <w:bCs/>
                <w:color w:val="000000"/>
                <w:sz w:val="22"/>
                <w:szCs w:val="22"/>
              </w:rPr>
            </w:pPr>
          </w:p>
        </w:tc>
        <w:tc>
          <w:tcPr>
            <w:tcW w:w="341"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Dư nợ cơ cấu lại thời hạn trả nợ</w:t>
            </w:r>
          </w:p>
        </w:tc>
        <w:tc>
          <w:tcPr>
            <w:tcW w:w="522"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Dư nợ cơ cấu lại thời hạn trả nợ và giữ nguyên nhóm nợ</w:t>
            </w:r>
          </w:p>
        </w:tc>
        <w:tc>
          <w:tcPr>
            <w:tcW w:w="522"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Số khách hàng được cơ cấu lại thời hạn trả nợ và giữ nguyên nhóm nợ</w:t>
            </w:r>
          </w:p>
        </w:tc>
        <w:tc>
          <w:tcPr>
            <w:tcW w:w="341"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Dư nợ cơ cấu lại thời hạn trả nợ</w:t>
            </w:r>
          </w:p>
        </w:tc>
        <w:tc>
          <w:tcPr>
            <w:tcW w:w="522"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Dư nợ cơ cấu lại thời hạn trả nợ và giữ nguyên nhóm nợ</w:t>
            </w:r>
          </w:p>
        </w:tc>
        <w:tc>
          <w:tcPr>
            <w:tcW w:w="522"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Số khách hàng được cơ cấu lại thời hạn trả nợ và giữ nguyên nhóm nợ</w:t>
            </w:r>
          </w:p>
        </w:tc>
        <w:tc>
          <w:tcPr>
            <w:tcW w:w="341"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Dư nợ cơ cấu lại thời hạn trả nợ</w:t>
            </w:r>
          </w:p>
        </w:tc>
        <w:tc>
          <w:tcPr>
            <w:tcW w:w="522" w:type="pct"/>
            <w:shd w:val="clear" w:color="000000" w:fill="FFFFFF"/>
            <w:vAlign w:val="center"/>
            <w:hideMark/>
          </w:tcPr>
          <w:p w:rsidR="00997948" w:rsidRPr="00F35E7A" w:rsidRDefault="00997948" w:rsidP="00997948">
            <w:pPr>
              <w:jc w:val="center"/>
              <w:rPr>
                <w:b/>
                <w:bCs/>
                <w:color w:val="000000"/>
                <w:sz w:val="22"/>
                <w:szCs w:val="22"/>
              </w:rPr>
            </w:pPr>
            <w:r w:rsidRPr="00F35E7A">
              <w:rPr>
                <w:b/>
                <w:bCs/>
                <w:color w:val="000000"/>
                <w:sz w:val="22"/>
                <w:szCs w:val="22"/>
              </w:rPr>
              <w:t>Dư nợ cơ cấu lại thời hạn trả nợ và giữ nguyên nhóm nợ</w:t>
            </w:r>
          </w:p>
        </w:tc>
        <w:tc>
          <w:tcPr>
            <w:tcW w:w="522" w:type="pct"/>
            <w:shd w:val="clear" w:color="000000" w:fill="FFFFFF"/>
            <w:vAlign w:val="center"/>
            <w:hideMark/>
          </w:tcPr>
          <w:p w:rsidR="00997948" w:rsidRPr="00997948" w:rsidRDefault="00997948" w:rsidP="00997948">
            <w:pPr>
              <w:jc w:val="center"/>
              <w:rPr>
                <w:b/>
                <w:bCs/>
                <w:color w:val="000000"/>
              </w:rPr>
            </w:pPr>
            <w:r w:rsidRPr="00997948">
              <w:rPr>
                <w:b/>
                <w:bCs/>
                <w:color w:val="000000"/>
              </w:rPr>
              <w:t>Số khách hàng được cơ cấu lại thời hạn trả nợ và giữ nguyên nhóm nợ</w:t>
            </w:r>
          </w:p>
        </w:tc>
      </w:tr>
      <w:tr w:rsidR="00997948" w:rsidRPr="00997948" w:rsidTr="008E57E8">
        <w:trPr>
          <w:trHeight w:val="330"/>
        </w:trPr>
        <w:tc>
          <w:tcPr>
            <w:tcW w:w="362"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(1)</w:t>
            </w:r>
          </w:p>
        </w:tc>
        <w:tc>
          <w:tcPr>
            <w:tcW w:w="485" w:type="pct"/>
            <w:shd w:val="clear" w:color="auto" w:fill="auto"/>
            <w:vAlign w:val="center"/>
          </w:tcPr>
          <w:p w:rsidR="00997948" w:rsidRPr="00F35E7A" w:rsidRDefault="00997948" w:rsidP="00997948">
            <w:pPr>
              <w:jc w:val="center"/>
              <w:rPr>
                <w:i/>
                <w:color w:val="000000"/>
                <w:sz w:val="22"/>
                <w:szCs w:val="22"/>
              </w:rPr>
            </w:pPr>
            <w:r w:rsidRPr="00F35E7A">
              <w:rPr>
                <w:i/>
                <w:color w:val="000000"/>
                <w:sz w:val="22"/>
                <w:szCs w:val="22"/>
              </w:rPr>
              <w:t>(2)</w:t>
            </w:r>
          </w:p>
        </w:tc>
        <w:tc>
          <w:tcPr>
            <w:tcW w:w="341" w:type="pct"/>
            <w:shd w:val="clear" w:color="auto" w:fill="auto"/>
            <w:vAlign w:val="center"/>
          </w:tcPr>
          <w:p w:rsidR="00997948" w:rsidRPr="00F35E7A" w:rsidRDefault="00997948" w:rsidP="00997948">
            <w:pPr>
              <w:jc w:val="center"/>
              <w:rPr>
                <w:i/>
                <w:color w:val="000000"/>
                <w:sz w:val="22"/>
                <w:szCs w:val="22"/>
              </w:rPr>
            </w:pPr>
            <w:r w:rsidRPr="00F35E7A">
              <w:rPr>
                <w:i/>
                <w:color w:val="000000"/>
                <w:sz w:val="22"/>
                <w:szCs w:val="22"/>
              </w:rPr>
              <w:t>(3)</w:t>
            </w:r>
          </w:p>
        </w:tc>
        <w:tc>
          <w:tcPr>
            <w:tcW w:w="522"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(4)</w:t>
            </w:r>
          </w:p>
        </w:tc>
        <w:tc>
          <w:tcPr>
            <w:tcW w:w="522"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(5)</w:t>
            </w:r>
          </w:p>
        </w:tc>
        <w:tc>
          <w:tcPr>
            <w:tcW w:w="341"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(6)</w:t>
            </w:r>
          </w:p>
        </w:tc>
        <w:tc>
          <w:tcPr>
            <w:tcW w:w="522"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(7)</w:t>
            </w:r>
          </w:p>
        </w:tc>
        <w:tc>
          <w:tcPr>
            <w:tcW w:w="522"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(8)</w:t>
            </w:r>
          </w:p>
        </w:tc>
        <w:tc>
          <w:tcPr>
            <w:tcW w:w="341"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(9)</w:t>
            </w:r>
          </w:p>
        </w:tc>
        <w:tc>
          <w:tcPr>
            <w:tcW w:w="522" w:type="pct"/>
            <w:shd w:val="clear" w:color="000000" w:fill="FFFFFF"/>
            <w:vAlign w:val="center"/>
          </w:tcPr>
          <w:p w:rsidR="00997948" w:rsidRPr="00F35E7A" w:rsidRDefault="00997948" w:rsidP="00997948">
            <w:pPr>
              <w:jc w:val="center"/>
              <w:rPr>
                <w:i/>
                <w:color w:val="000000"/>
                <w:sz w:val="22"/>
                <w:szCs w:val="22"/>
              </w:rPr>
            </w:pPr>
            <w:r w:rsidRPr="00F35E7A">
              <w:rPr>
                <w:i/>
                <w:color w:val="000000"/>
                <w:sz w:val="22"/>
                <w:szCs w:val="22"/>
              </w:rPr>
              <w:t>(10)</w:t>
            </w:r>
          </w:p>
        </w:tc>
        <w:tc>
          <w:tcPr>
            <w:tcW w:w="522" w:type="pct"/>
            <w:shd w:val="clear" w:color="000000" w:fill="FFFFFF"/>
            <w:vAlign w:val="center"/>
          </w:tcPr>
          <w:p w:rsidR="00997948" w:rsidRPr="00997948" w:rsidRDefault="00997948" w:rsidP="00997948">
            <w:pPr>
              <w:jc w:val="center"/>
              <w:rPr>
                <w:i/>
                <w:color w:val="000000"/>
                <w:sz w:val="26"/>
                <w:szCs w:val="26"/>
              </w:rPr>
            </w:pPr>
            <w:r w:rsidRPr="00997948">
              <w:rPr>
                <w:i/>
                <w:color w:val="000000"/>
                <w:sz w:val="26"/>
                <w:szCs w:val="26"/>
              </w:rPr>
              <w:t>(11)</w:t>
            </w:r>
          </w:p>
        </w:tc>
      </w:tr>
      <w:tr w:rsidR="00997948" w:rsidRPr="00997948" w:rsidTr="008E57E8">
        <w:trPr>
          <w:trHeight w:val="330"/>
        </w:trPr>
        <w:tc>
          <w:tcPr>
            <w:tcW w:w="362" w:type="pct"/>
            <w:shd w:val="clear" w:color="000000" w:fill="FFFFFF"/>
            <w:vAlign w:val="center"/>
            <w:hideMark/>
          </w:tcPr>
          <w:p w:rsidR="00997948" w:rsidRPr="00F35E7A" w:rsidRDefault="00997948" w:rsidP="00997948">
            <w:pPr>
              <w:jc w:val="center"/>
              <w:rPr>
                <w:color w:val="000000"/>
                <w:sz w:val="22"/>
                <w:szCs w:val="22"/>
              </w:rPr>
            </w:pPr>
            <w:r w:rsidRPr="00F35E7A">
              <w:rPr>
                <w:color w:val="000000"/>
                <w:sz w:val="22"/>
                <w:szCs w:val="22"/>
              </w:rPr>
              <w:t>1</w:t>
            </w:r>
          </w:p>
        </w:tc>
        <w:tc>
          <w:tcPr>
            <w:tcW w:w="485"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Cá nhân, hộ gia đình, hộ kinh doanh</w:t>
            </w:r>
          </w:p>
        </w:tc>
        <w:tc>
          <w:tcPr>
            <w:tcW w:w="341"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522" w:type="pct"/>
            <w:shd w:val="clear" w:color="000000" w:fill="FFFFFF"/>
            <w:vAlign w:val="center"/>
            <w:hideMark/>
          </w:tcPr>
          <w:p w:rsidR="00997948" w:rsidRPr="00F35E7A" w:rsidRDefault="00997948" w:rsidP="00997948">
            <w:pPr>
              <w:rPr>
                <w:i/>
                <w:iCs/>
                <w:color w:val="000000"/>
                <w:sz w:val="22"/>
                <w:szCs w:val="22"/>
              </w:rPr>
            </w:pPr>
            <w:r w:rsidRPr="00F35E7A">
              <w:rPr>
                <w:i/>
                <w:iCs/>
                <w:color w:val="000000"/>
                <w:sz w:val="22"/>
                <w:szCs w:val="22"/>
              </w:rPr>
              <w:t> </w:t>
            </w:r>
          </w:p>
        </w:tc>
        <w:tc>
          <w:tcPr>
            <w:tcW w:w="522" w:type="pct"/>
            <w:shd w:val="clear" w:color="000000" w:fill="FFFFFF"/>
            <w:vAlign w:val="center"/>
            <w:hideMark/>
          </w:tcPr>
          <w:p w:rsidR="00997948" w:rsidRPr="00F35E7A" w:rsidRDefault="00997948" w:rsidP="00997948">
            <w:pPr>
              <w:rPr>
                <w:i/>
                <w:iCs/>
                <w:color w:val="000000"/>
                <w:sz w:val="22"/>
                <w:szCs w:val="22"/>
              </w:rPr>
            </w:pPr>
            <w:r w:rsidRPr="00F35E7A">
              <w:rPr>
                <w:i/>
                <w:iCs/>
                <w:color w:val="000000"/>
                <w:sz w:val="22"/>
                <w:szCs w:val="22"/>
              </w:rPr>
              <w:t> </w:t>
            </w:r>
          </w:p>
        </w:tc>
        <w:tc>
          <w:tcPr>
            <w:tcW w:w="341" w:type="pct"/>
            <w:shd w:val="clear" w:color="000000" w:fill="FFFFFF"/>
            <w:vAlign w:val="center"/>
            <w:hideMark/>
          </w:tcPr>
          <w:p w:rsidR="00997948" w:rsidRPr="00F35E7A" w:rsidRDefault="00997948" w:rsidP="00997948">
            <w:pPr>
              <w:rPr>
                <w:i/>
                <w:iCs/>
                <w:color w:val="000000"/>
                <w:sz w:val="22"/>
                <w:szCs w:val="22"/>
              </w:rPr>
            </w:pPr>
            <w:r w:rsidRPr="00F35E7A">
              <w:rPr>
                <w:i/>
                <w:iCs/>
                <w:color w:val="000000"/>
                <w:sz w:val="22"/>
                <w:szCs w:val="22"/>
              </w:rPr>
              <w:t> </w:t>
            </w:r>
          </w:p>
        </w:tc>
        <w:tc>
          <w:tcPr>
            <w:tcW w:w="522" w:type="pct"/>
            <w:shd w:val="clear" w:color="000000" w:fill="FFFFFF"/>
            <w:vAlign w:val="center"/>
            <w:hideMark/>
          </w:tcPr>
          <w:p w:rsidR="00997948" w:rsidRPr="00F35E7A" w:rsidRDefault="00997948" w:rsidP="00997948">
            <w:pPr>
              <w:rPr>
                <w:i/>
                <w:iCs/>
                <w:color w:val="000000"/>
                <w:sz w:val="22"/>
                <w:szCs w:val="22"/>
              </w:rPr>
            </w:pPr>
            <w:r w:rsidRPr="00F35E7A">
              <w:rPr>
                <w:i/>
                <w:iCs/>
                <w:color w:val="000000"/>
                <w:sz w:val="22"/>
                <w:szCs w:val="22"/>
              </w:rPr>
              <w:t> </w:t>
            </w:r>
          </w:p>
        </w:tc>
        <w:tc>
          <w:tcPr>
            <w:tcW w:w="522" w:type="pct"/>
            <w:shd w:val="clear" w:color="000000" w:fill="FFFFFF"/>
            <w:vAlign w:val="center"/>
            <w:hideMark/>
          </w:tcPr>
          <w:p w:rsidR="00997948" w:rsidRPr="00F35E7A" w:rsidRDefault="00997948" w:rsidP="00997948">
            <w:pPr>
              <w:rPr>
                <w:color w:val="000000"/>
                <w:sz w:val="22"/>
                <w:szCs w:val="22"/>
              </w:rPr>
            </w:pPr>
            <w:r w:rsidRPr="00F35E7A">
              <w:rPr>
                <w:color w:val="000000"/>
                <w:sz w:val="22"/>
                <w:szCs w:val="22"/>
              </w:rPr>
              <w:t> </w:t>
            </w:r>
          </w:p>
        </w:tc>
        <w:tc>
          <w:tcPr>
            <w:tcW w:w="341" w:type="pct"/>
            <w:shd w:val="clear" w:color="000000" w:fill="FFFFFF"/>
            <w:vAlign w:val="center"/>
            <w:hideMark/>
          </w:tcPr>
          <w:p w:rsidR="00997948" w:rsidRPr="00F35E7A" w:rsidRDefault="00997948" w:rsidP="00997948">
            <w:pPr>
              <w:rPr>
                <w:i/>
                <w:iCs/>
                <w:color w:val="000000"/>
                <w:sz w:val="22"/>
                <w:szCs w:val="22"/>
              </w:rPr>
            </w:pPr>
            <w:r w:rsidRPr="00F35E7A">
              <w:rPr>
                <w:i/>
                <w:iCs/>
                <w:color w:val="000000"/>
                <w:sz w:val="22"/>
                <w:szCs w:val="22"/>
              </w:rPr>
              <w:t> </w:t>
            </w:r>
          </w:p>
        </w:tc>
        <w:tc>
          <w:tcPr>
            <w:tcW w:w="522" w:type="pct"/>
            <w:shd w:val="clear" w:color="000000" w:fill="FFFFFF"/>
            <w:vAlign w:val="center"/>
            <w:hideMark/>
          </w:tcPr>
          <w:p w:rsidR="00997948" w:rsidRPr="00F35E7A" w:rsidRDefault="00997948" w:rsidP="00997948">
            <w:pPr>
              <w:rPr>
                <w:i/>
                <w:iCs/>
                <w:color w:val="000000"/>
                <w:sz w:val="22"/>
                <w:szCs w:val="22"/>
              </w:rPr>
            </w:pPr>
            <w:r w:rsidRPr="00F35E7A">
              <w:rPr>
                <w:i/>
                <w:iCs/>
                <w:color w:val="000000"/>
                <w:sz w:val="22"/>
                <w:szCs w:val="22"/>
              </w:rPr>
              <w:t> </w:t>
            </w:r>
          </w:p>
        </w:tc>
        <w:tc>
          <w:tcPr>
            <w:tcW w:w="522" w:type="pct"/>
            <w:shd w:val="clear" w:color="000000" w:fill="FFFFFF"/>
            <w:vAlign w:val="center"/>
            <w:hideMark/>
          </w:tcPr>
          <w:p w:rsidR="00997948" w:rsidRPr="00997948" w:rsidRDefault="00997948" w:rsidP="00997948">
            <w:pPr>
              <w:rPr>
                <w:color w:val="000000"/>
                <w:sz w:val="26"/>
                <w:szCs w:val="26"/>
              </w:rPr>
            </w:pPr>
            <w:r w:rsidRPr="00997948">
              <w:rPr>
                <w:color w:val="000000"/>
                <w:sz w:val="26"/>
                <w:szCs w:val="26"/>
              </w:rPr>
              <w:t> </w:t>
            </w:r>
          </w:p>
        </w:tc>
      </w:tr>
      <w:tr w:rsidR="00997948" w:rsidRPr="00997948" w:rsidTr="008E57E8">
        <w:trPr>
          <w:trHeight w:val="330"/>
        </w:trPr>
        <w:tc>
          <w:tcPr>
            <w:tcW w:w="362" w:type="pct"/>
            <w:shd w:val="clear" w:color="auto" w:fill="auto"/>
            <w:vAlign w:val="center"/>
            <w:hideMark/>
          </w:tcPr>
          <w:p w:rsidR="00997948" w:rsidRPr="00F35E7A" w:rsidRDefault="00997948" w:rsidP="00997948">
            <w:pPr>
              <w:jc w:val="center"/>
              <w:rPr>
                <w:color w:val="000000"/>
                <w:sz w:val="22"/>
                <w:szCs w:val="22"/>
              </w:rPr>
            </w:pPr>
            <w:r w:rsidRPr="00F35E7A">
              <w:rPr>
                <w:color w:val="000000"/>
                <w:sz w:val="22"/>
                <w:szCs w:val="22"/>
              </w:rPr>
              <w:t>2</w:t>
            </w:r>
          </w:p>
        </w:tc>
        <w:tc>
          <w:tcPr>
            <w:tcW w:w="485"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Chủ trang trại</w:t>
            </w:r>
          </w:p>
        </w:tc>
        <w:tc>
          <w:tcPr>
            <w:tcW w:w="341"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522"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522"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341"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522"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522"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341"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522" w:type="pct"/>
            <w:shd w:val="clear" w:color="auto" w:fill="auto"/>
            <w:vAlign w:val="center"/>
            <w:hideMark/>
          </w:tcPr>
          <w:p w:rsidR="00997948" w:rsidRPr="00F35E7A" w:rsidRDefault="00997948" w:rsidP="00997948">
            <w:pPr>
              <w:rPr>
                <w:color w:val="000000"/>
                <w:sz w:val="22"/>
                <w:szCs w:val="22"/>
              </w:rPr>
            </w:pPr>
            <w:r w:rsidRPr="00F35E7A">
              <w:rPr>
                <w:color w:val="000000"/>
                <w:sz w:val="22"/>
                <w:szCs w:val="22"/>
              </w:rPr>
              <w:t> </w:t>
            </w:r>
          </w:p>
        </w:tc>
        <w:tc>
          <w:tcPr>
            <w:tcW w:w="522" w:type="pct"/>
            <w:shd w:val="clear" w:color="auto" w:fill="auto"/>
            <w:vAlign w:val="center"/>
            <w:hideMark/>
          </w:tcPr>
          <w:p w:rsidR="00997948" w:rsidRPr="00997948" w:rsidRDefault="00997948" w:rsidP="00997948">
            <w:pPr>
              <w:rPr>
                <w:color w:val="000000"/>
                <w:sz w:val="26"/>
                <w:szCs w:val="26"/>
              </w:rPr>
            </w:pPr>
            <w:r w:rsidRPr="00997948">
              <w:rPr>
                <w:color w:val="000000"/>
                <w:sz w:val="26"/>
                <w:szCs w:val="26"/>
              </w:rPr>
              <w:t> </w:t>
            </w:r>
          </w:p>
        </w:tc>
      </w:tr>
      <w:tr w:rsidR="00997948" w:rsidRPr="00997948" w:rsidTr="008E57E8">
        <w:trPr>
          <w:trHeight w:val="330"/>
        </w:trPr>
        <w:tc>
          <w:tcPr>
            <w:tcW w:w="362" w:type="pct"/>
            <w:shd w:val="clear" w:color="auto" w:fill="auto"/>
            <w:vAlign w:val="center"/>
          </w:tcPr>
          <w:p w:rsidR="00997948" w:rsidRPr="00F35E7A" w:rsidRDefault="00997948" w:rsidP="00997948">
            <w:pPr>
              <w:jc w:val="center"/>
              <w:rPr>
                <w:color w:val="000000"/>
                <w:sz w:val="22"/>
                <w:szCs w:val="22"/>
              </w:rPr>
            </w:pPr>
            <w:r w:rsidRPr="00F35E7A">
              <w:rPr>
                <w:color w:val="000000"/>
                <w:sz w:val="22"/>
                <w:szCs w:val="22"/>
              </w:rPr>
              <w:lastRenderedPageBreak/>
              <w:t>3</w:t>
            </w:r>
          </w:p>
        </w:tc>
        <w:tc>
          <w:tcPr>
            <w:tcW w:w="485" w:type="pct"/>
            <w:shd w:val="clear" w:color="auto" w:fill="auto"/>
            <w:vAlign w:val="center"/>
          </w:tcPr>
          <w:p w:rsidR="00997948" w:rsidRPr="00F35E7A" w:rsidRDefault="00997948" w:rsidP="00997948">
            <w:pPr>
              <w:rPr>
                <w:color w:val="000000"/>
                <w:sz w:val="22"/>
                <w:szCs w:val="22"/>
              </w:rPr>
            </w:pPr>
            <w:r w:rsidRPr="00F35E7A">
              <w:rPr>
                <w:color w:val="000000"/>
                <w:sz w:val="22"/>
                <w:szCs w:val="22"/>
              </w:rPr>
              <w:t>Doanh nghiệp</w:t>
            </w: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997948" w:rsidRDefault="00997948" w:rsidP="00997948">
            <w:pPr>
              <w:rPr>
                <w:color w:val="000000"/>
                <w:sz w:val="26"/>
                <w:szCs w:val="26"/>
              </w:rPr>
            </w:pPr>
          </w:p>
        </w:tc>
      </w:tr>
      <w:tr w:rsidR="00997948" w:rsidRPr="00997948" w:rsidTr="008E57E8">
        <w:trPr>
          <w:trHeight w:val="330"/>
        </w:trPr>
        <w:tc>
          <w:tcPr>
            <w:tcW w:w="362" w:type="pct"/>
            <w:shd w:val="clear" w:color="auto" w:fill="auto"/>
            <w:vAlign w:val="center"/>
          </w:tcPr>
          <w:p w:rsidR="00997948" w:rsidRPr="00F35E7A" w:rsidRDefault="00997948" w:rsidP="00997948">
            <w:pPr>
              <w:jc w:val="center"/>
              <w:rPr>
                <w:color w:val="000000"/>
                <w:sz w:val="22"/>
                <w:szCs w:val="22"/>
              </w:rPr>
            </w:pPr>
            <w:r w:rsidRPr="00F35E7A">
              <w:rPr>
                <w:color w:val="000000"/>
                <w:sz w:val="22"/>
                <w:szCs w:val="22"/>
              </w:rPr>
              <w:t>4</w:t>
            </w:r>
          </w:p>
        </w:tc>
        <w:tc>
          <w:tcPr>
            <w:tcW w:w="485" w:type="pct"/>
            <w:shd w:val="clear" w:color="auto" w:fill="auto"/>
            <w:vAlign w:val="center"/>
          </w:tcPr>
          <w:p w:rsidR="00997948" w:rsidRPr="00F35E7A" w:rsidRDefault="00997948" w:rsidP="00997948">
            <w:pPr>
              <w:rPr>
                <w:color w:val="000000"/>
                <w:sz w:val="22"/>
                <w:szCs w:val="22"/>
              </w:rPr>
            </w:pPr>
            <w:r w:rsidRPr="00F35E7A">
              <w:rPr>
                <w:color w:val="000000"/>
                <w:sz w:val="22"/>
                <w:szCs w:val="22"/>
              </w:rPr>
              <w:t>Hợp tác xã, liên hiệp hợp tác xã</w:t>
            </w: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997948" w:rsidRDefault="00997948" w:rsidP="00997948">
            <w:pPr>
              <w:rPr>
                <w:color w:val="000000"/>
                <w:sz w:val="26"/>
                <w:szCs w:val="26"/>
              </w:rPr>
            </w:pPr>
          </w:p>
        </w:tc>
      </w:tr>
      <w:tr w:rsidR="00997948" w:rsidRPr="00997948" w:rsidTr="008E57E8">
        <w:trPr>
          <w:trHeight w:val="330"/>
        </w:trPr>
        <w:tc>
          <w:tcPr>
            <w:tcW w:w="362" w:type="pct"/>
            <w:shd w:val="clear" w:color="auto" w:fill="auto"/>
            <w:vAlign w:val="center"/>
          </w:tcPr>
          <w:p w:rsidR="00997948" w:rsidRPr="00F35E7A" w:rsidRDefault="00997948" w:rsidP="00997948">
            <w:pPr>
              <w:jc w:val="center"/>
              <w:rPr>
                <w:color w:val="000000"/>
                <w:sz w:val="22"/>
                <w:szCs w:val="22"/>
              </w:rPr>
            </w:pPr>
            <w:r w:rsidRPr="00F35E7A">
              <w:rPr>
                <w:color w:val="000000"/>
                <w:sz w:val="22"/>
                <w:szCs w:val="22"/>
              </w:rPr>
              <w:t>5</w:t>
            </w:r>
          </w:p>
        </w:tc>
        <w:tc>
          <w:tcPr>
            <w:tcW w:w="485" w:type="pct"/>
            <w:shd w:val="clear" w:color="auto" w:fill="auto"/>
            <w:vAlign w:val="center"/>
          </w:tcPr>
          <w:p w:rsidR="00997948" w:rsidRPr="00F35E7A" w:rsidRDefault="00997948" w:rsidP="00997948">
            <w:pPr>
              <w:rPr>
                <w:color w:val="000000"/>
                <w:sz w:val="22"/>
                <w:szCs w:val="22"/>
              </w:rPr>
            </w:pPr>
            <w:r w:rsidRPr="00F35E7A">
              <w:rPr>
                <w:color w:val="000000"/>
                <w:sz w:val="22"/>
                <w:szCs w:val="22"/>
              </w:rPr>
              <w:t>Khác</w:t>
            </w: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997948" w:rsidRDefault="00997948" w:rsidP="00997948">
            <w:pPr>
              <w:rPr>
                <w:color w:val="000000"/>
                <w:sz w:val="26"/>
                <w:szCs w:val="26"/>
              </w:rPr>
            </w:pPr>
          </w:p>
        </w:tc>
      </w:tr>
      <w:tr w:rsidR="00997948" w:rsidRPr="00997948" w:rsidTr="008E57E8">
        <w:trPr>
          <w:trHeight w:val="330"/>
        </w:trPr>
        <w:tc>
          <w:tcPr>
            <w:tcW w:w="847" w:type="pct"/>
            <w:gridSpan w:val="2"/>
            <w:shd w:val="clear" w:color="auto" w:fill="auto"/>
            <w:vAlign w:val="center"/>
          </w:tcPr>
          <w:p w:rsidR="00997948" w:rsidRPr="00F35E7A" w:rsidRDefault="00997948" w:rsidP="00997948">
            <w:pPr>
              <w:jc w:val="center"/>
              <w:rPr>
                <w:b/>
                <w:color w:val="000000"/>
                <w:sz w:val="22"/>
                <w:szCs w:val="22"/>
              </w:rPr>
            </w:pPr>
            <w:r w:rsidRPr="00F35E7A">
              <w:rPr>
                <w:b/>
                <w:color w:val="000000"/>
                <w:sz w:val="22"/>
                <w:szCs w:val="22"/>
              </w:rPr>
              <w:t>Tổng cộng</w:t>
            </w: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341"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F35E7A" w:rsidRDefault="00997948" w:rsidP="00997948">
            <w:pPr>
              <w:rPr>
                <w:color w:val="000000"/>
                <w:sz w:val="22"/>
                <w:szCs w:val="22"/>
              </w:rPr>
            </w:pPr>
          </w:p>
        </w:tc>
        <w:tc>
          <w:tcPr>
            <w:tcW w:w="522" w:type="pct"/>
            <w:shd w:val="clear" w:color="auto" w:fill="auto"/>
            <w:vAlign w:val="center"/>
          </w:tcPr>
          <w:p w:rsidR="00997948" w:rsidRPr="00997948" w:rsidRDefault="00997948" w:rsidP="00997948">
            <w:pPr>
              <w:rPr>
                <w:color w:val="000000"/>
                <w:sz w:val="26"/>
                <w:szCs w:val="26"/>
              </w:rPr>
            </w:pPr>
          </w:p>
        </w:tc>
      </w:tr>
    </w:tbl>
    <w:p w:rsidR="00997948" w:rsidRPr="00997948" w:rsidRDefault="00997948" w:rsidP="00997948">
      <w:pPr>
        <w:spacing w:before="240" w:after="60" w:line="240" w:lineRule="atLeast"/>
        <w:jc w:val="both"/>
        <w:rPr>
          <w:b/>
          <w:bCs/>
          <w:i/>
          <w:iCs/>
          <w:sz w:val="26"/>
          <w:szCs w:val="26"/>
        </w:rPr>
      </w:pPr>
      <w:r w:rsidRPr="00997948">
        <w:rPr>
          <w:b/>
          <w:bCs/>
          <w:i/>
          <w:iCs/>
          <w:sz w:val="26"/>
          <w:szCs w:val="26"/>
        </w:rPr>
        <w:t>Hướng dẫn lập báo cáo:</w:t>
      </w:r>
    </w:p>
    <w:p w:rsidR="00997948" w:rsidRPr="00997948" w:rsidRDefault="00997948" w:rsidP="00997948">
      <w:pPr>
        <w:rPr>
          <w:sz w:val="26"/>
          <w:szCs w:val="26"/>
          <w:lang w:val="sv-SE"/>
        </w:rPr>
      </w:pPr>
      <w:r w:rsidRPr="00997948">
        <w:rPr>
          <w:sz w:val="26"/>
          <w:szCs w:val="26"/>
          <w:lang w:val="sv-SE"/>
        </w:rPr>
        <w:t>- Cột (3) + (6) = Cột (9); Cột (4) + (7) = Cột (10); Cột (5) + (8) = Cột (11);</w:t>
      </w:r>
    </w:p>
    <w:p w:rsidR="00F35E7A" w:rsidRDefault="00997948" w:rsidP="00F979F3">
      <w:pPr>
        <w:rPr>
          <w:sz w:val="26"/>
          <w:szCs w:val="26"/>
          <w:lang w:val="sv-SE"/>
        </w:rPr>
      </w:pPr>
      <w:r w:rsidRPr="00997948">
        <w:rPr>
          <w:sz w:val="26"/>
          <w:szCs w:val="26"/>
          <w:lang w:val="sv-SE"/>
        </w:rPr>
        <w:t xml:space="preserve">- Dòng </w:t>
      </w:r>
      <w:r w:rsidRPr="00997948">
        <w:rPr>
          <w:b/>
          <w:sz w:val="26"/>
          <w:szCs w:val="26"/>
          <w:lang w:val="sv-SE"/>
        </w:rPr>
        <w:t>Tổng cộng</w:t>
      </w:r>
      <w:r w:rsidR="00F979F3">
        <w:rPr>
          <w:sz w:val="26"/>
          <w:szCs w:val="26"/>
          <w:lang w:val="sv-SE"/>
        </w:rPr>
        <w:t xml:space="preserve"> = Dòng 1 + 2 + 3 </w:t>
      </w:r>
    </w:p>
    <w:p w:rsidR="00F979F3" w:rsidRDefault="00F979F3" w:rsidP="00F979F3">
      <w:pPr>
        <w:rPr>
          <w:sz w:val="26"/>
          <w:szCs w:val="26"/>
          <w:lang w:val="sv-SE"/>
        </w:rPr>
      </w:pPr>
    </w:p>
    <w:p w:rsidR="00F979F3" w:rsidRPr="00F979F3" w:rsidRDefault="00F979F3" w:rsidP="00F979F3">
      <w:pPr>
        <w:rPr>
          <w:sz w:val="26"/>
          <w:szCs w:val="26"/>
          <w:lang w:val="sv-SE"/>
        </w:rPr>
        <w:sectPr w:rsidR="00F979F3" w:rsidRPr="00F979F3" w:rsidSect="00E71CC7">
          <w:pgSz w:w="16838" w:h="11906" w:orient="landscape"/>
          <w:pgMar w:top="1699" w:right="864" w:bottom="1138" w:left="1296" w:header="720" w:footer="720" w:gutter="0"/>
          <w:cols w:space="720"/>
          <w:docGrid w:linePitch="326"/>
        </w:sectPr>
      </w:pPr>
    </w:p>
    <w:p w:rsidR="003C2434" w:rsidRPr="00F979F3" w:rsidRDefault="00F979F3" w:rsidP="00F979F3">
      <w:r>
        <w:rPr>
          <w:noProof/>
        </w:rPr>
        <w:lastRenderedPageBreak/>
        <w:pict>
          <v:shapetype id="_x0000_t32" coordsize="21600,21600" o:spt="32" o:oned="t" path="m,l21600,21600e" filled="f">
            <v:path arrowok="t" fillok="f" o:connecttype="none"/>
            <o:lock v:ext="edit" shapetype="t"/>
          </v:shapetype>
          <v:shape id="_x0000_s1042" type="#_x0000_t32" style="position:absolute;margin-left:1.2pt;margin-top:10.8pt;width:466.5pt;height:0;z-index:251659264" o:connectortype="straight"/>
        </w:pict>
      </w:r>
    </w:p>
    <w:tbl>
      <w:tblPr>
        <w:tblW w:w="948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5164"/>
      </w:tblGrid>
      <w:tr w:rsidR="00F979F3" w:rsidRPr="00BA7100" w:rsidTr="00CB1829">
        <w:trPr>
          <w:trHeight w:val="2864"/>
        </w:trPr>
        <w:tc>
          <w:tcPr>
            <w:tcW w:w="4320" w:type="dxa"/>
            <w:tcBorders>
              <w:top w:val="nil"/>
              <w:left w:val="nil"/>
              <w:bottom w:val="nil"/>
              <w:right w:val="nil"/>
            </w:tcBorders>
          </w:tcPr>
          <w:p w:rsidR="00F979F3" w:rsidRDefault="00F979F3" w:rsidP="00CB1829">
            <w:pPr>
              <w:keepNext/>
              <w:rPr>
                <w:b/>
                <w:sz w:val="28"/>
                <w:szCs w:val="28"/>
                <w:lang w:val="vi-VN"/>
              </w:rPr>
            </w:pPr>
          </w:p>
          <w:p w:rsidR="00F979F3" w:rsidRPr="0013217E" w:rsidRDefault="00F979F3" w:rsidP="00CB1829">
            <w:pPr>
              <w:keepNext/>
              <w:rPr>
                <w:b/>
                <w:sz w:val="28"/>
                <w:szCs w:val="28"/>
                <w:lang w:val="vi-VN"/>
              </w:rPr>
            </w:pPr>
            <w:r w:rsidRPr="0013217E">
              <w:rPr>
                <w:b/>
                <w:sz w:val="28"/>
                <w:szCs w:val="28"/>
                <w:lang w:val="vi-VN"/>
              </w:rPr>
              <w:t xml:space="preserve">NGÂN HÀNG NHÀ NƯỚC </w:t>
            </w:r>
          </w:p>
          <w:p w:rsidR="00F979F3" w:rsidRPr="0013217E" w:rsidRDefault="00F979F3" w:rsidP="00CB1829">
            <w:pPr>
              <w:keepNext/>
              <w:ind w:firstLine="450"/>
              <w:rPr>
                <w:b/>
                <w:sz w:val="28"/>
                <w:szCs w:val="28"/>
                <w:lang w:val="vi-VN"/>
              </w:rPr>
            </w:pPr>
            <w:r>
              <w:rPr>
                <w:b/>
                <w:sz w:val="28"/>
                <w:szCs w:val="28"/>
                <w:lang w:val="vi-VN"/>
              </w:rPr>
              <w:t xml:space="preserve">        </w:t>
            </w:r>
            <w:r w:rsidRPr="0013217E">
              <w:rPr>
                <w:b/>
                <w:sz w:val="28"/>
                <w:szCs w:val="28"/>
                <w:lang w:val="vi-VN"/>
              </w:rPr>
              <w:t>VIỆT NAM</w:t>
            </w:r>
          </w:p>
          <w:p w:rsidR="00F979F3" w:rsidRPr="0013217E" w:rsidRDefault="00F979F3" w:rsidP="00CB1829">
            <w:pPr>
              <w:keepNext/>
              <w:spacing w:before="160"/>
              <w:rPr>
                <w:sz w:val="28"/>
                <w:szCs w:val="28"/>
                <w:lang w:val="vi-VN"/>
              </w:rPr>
            </w:pPr>
            <w:r w:rsidRPr="001A7A2B">
              <w:rPr>
                <w:b/>
                <w:noProof/>
                <w:sz w:val="28"/>
                <w:szCs w:val="28"/>
                <w:lang w:val="vi-VN" w:eastAsia="vi-VN"/>
              </w:rPr>
              <w:pict>
                <v:line id="Line 6" o:spid="_x0000_s1039" style="position:absolute;z-index:251658240;visibility:visible" from="55.55pt,1.75pt" to="118.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Pr="0013217E">
              <w:rPr>
                <w:sz w:val="28"/>
                <w:szCs w:val="28"/>
                <w:lang w:val="vi-VN"/>
              </w:rPr>
              <w:t xml:space="preserve">   Số:   </w:t>
            </w:r>
            <w:r w:rsidR="00BA7100">
              <w:rPr>
                <w:sz w:val="28"/>
                <w:szCs w:val="28"/>
              </w:rPr>
              <w:t>19</w:t>
            </w:r>
            <w:r w:rsidRPr="0013217E">
              <w:rPr>
                <w:sz w:val="28"/>
                <w:szCs w:val="28"/>
                <w:lang w:val="vi-VN"/>
              </w:rPr>
              <w:t xml:space="preserve">     </w:t>
            </w:r>
            <w:r>
              <w:rPr>
                <w:sz w:val="28"/>
                <w:szCs w:val="28"/>
              </w:rPr>
              <w:t xml:space="preserve">   </w:t>
            </w:r>
            <w:r w:rsidRPr="0013217E">
              <w:rPr>
                <w:sz w:val="28"/>
                <w:szCs w:val="28"/>
                <w:lang w:val="vi-VN"/>
              </w:rPr>
              <w:t xml:space="preserve">  /VBHN-NHNN</w:t>
            </w:r>
          </w:p>
          <w:p w:rsidR="00F979F3" w:rsidRPr="0013217E" w:rsidRDefault="00F979F3" w:rsidP="00CB1829">
            <w:pPr>
              <w:keepNext/>
              <w:ind w:firstLine="450"/>
              <w:rPr>
                <w:b/>
                <w:lang w:val="vi-VN"/>
              </w:rPr>
            </w:pPr>
          </w:p>
          <w:p w:rsidR="00F979F3" w:rsidRPr="0013217E" w:rsidRDefault="00F979F3" w:rsidP="00CB1829">
            <w:pPr>
              <w:keepNext/>
              <w:ind w:firstLine="450"/>
              <w:rPr>
                <w:b/>
                <w:lang w:val="vi-VN"/>
              </w:rPr>
            </w:pPr>
          </w:p>
          <w:p w:rsidR="00F979F3" w:rsidRPr="0013217E" w:rsidRDefault="00F979F3" w:rsidP="00CB1829">
            <w:pPr>
              <w:keepNext/>
              <w:rPr>
                <w:b/>
                <w:lang w:val="vi-VN"/>
              </w:rPr>
            </w:pPr>
          </w:p>
          <w:p w:rsidR="00F979F3" w:rsidRPr="0013217E" w:rsidRDefault="00F979F3" w:rsidP="00CB1829">
            <w:pPr>
              <w:keepNext/>
              <w:rPr>
                <w:b/>
                <w:lang w:val="vi-VN"/>
              </w:rPr>
            </w:pPr>
            <w:r w:rsidRPr="0013217E">
              <w:rPr>
                <w:b/>
                <w:lang w:val="vi-VN"/>
              </w:rPr>
              <w:t>Nơi nhận:</w:t>
            </w:r>
          </w:p>
          <w:p w:rsidR="00F979F3" w:rsidRPr="0013217E" w:rsidRDefault="00F979F3" w:rsidP="00CB1829">
            <w:pPr>
              <w:keepNext/>
              <w:spacing w:before="60"/>
              <w:rPr>
                <w:lang w:val="vi-VN"/>
              </w:rPr>
            </w:pPr>
            <w:r w:rsidRPr="0013217E">
              <w:rPr>
                <w:sz w:val="22"/>
                <w:szCs w:val="22"/>
                <w:lang w:val="vi-VN"/>
              </w:rPr>
              <w:t xml:space="preserve">- </w:t>
            </w:r>
            <w:r w:rsidRPr="00BA7100">
              <w:rPr>
                <w:sz w:val="22"/>
                <w:szCs w:val="22"/>
                <w:lang w:val="vi-VN"/>
              </w:rPr>
              <w:t>Ban lãnh đạo NHNN</w:t>
            </w:r>
            <w:r w:rsidRPr="0013217E">
              <w:rPr>
                <w:sz w:val="22"/>
                <w:szCs w:val="22"/>
                <w:lang w:val="vi-VN"/>
              </w:rPr>
              <w:t>;</w:t>
            </w:r>
          </w:p>
          <w:p w:rsidR="00F979F3" w:rsidRPr="00BA7100" w:rsidRDefault="00F979F3" w:rsidP="00CB1829">
            <w:pPr>
              <w:keepNext/>
              <w:spacing w:before="60"/>
              <w:rPr>
                <w:lang w:val="vi-VN"/>
              </w:rPr>
            </w:pPr>
            <w:r w:rsidRPr="00BA7100">
              <w:rPr>
                <w:sz w:val="22"/>
                <w:szCs w:val="22"/>
                <w:lang w:val="vi-VN"/>
              </w:rPr>
              <w:t>-</w:t>
            </w:r>
            <w:r w:rsidRPr="0013217E">
              <w:rPr>
                <w:sz w:val="22"/>
                <w:szCs w:val="22"/>
                <w:lang w:val="vi-VN"/>
              </w:rPr>
              <w:t xml:space="preserve"> Văn phòng Chính phủ (để đăng Công báo)</w:t>
            </w:r>
            <w:r w:rsidRPr="00BA7100">
              <w:rPr>
                <w:sz w:val="22"/>
                <w:szCs w:val="22"/>
                <w:lang w:val="vi-VN"/>
              </w:rPr>
              <w:t>;</w:t>
            </w:r>
          </w:p>
          <w:p w:rsidR="00F979F3" w:rsidRPr="00BA7100" w:rsidRDefault="00F979F3" w:rsidP="00CB1829">
            <w:pPr>
              <w:keepNext/>
              <w:spacing w:before="60"/>
              <w:rPr>
                <w:lang w:val="vi-VN"/>
              </w:rPr>
            </w:pPr>
            <w:r w:rsidRPr="00BA7100">
              <w:rPr>
                <w:sz w:val="22"/>
                <w:szCs w:val="22"/>
                <w:lang w:val="vi-VN"/>
              </w:rPr>
              <w:t>- Cổng thông tin điện tử NHNN;</w:t>
            </w:r>
          </w:p>
          <w:p w:rsidR="00F979F3" w:rsidRPr="0013217E" w:rsidRDefault="00F979F3" w:rsidP="00CB1829">
            <w:pPr>
              <w:keepNext/>
              <w:spacing w:before="60"/>
              <w:rPr>
                <w:szCs w:val="28"/>
              </w:rPr>
            </w:pPr>
            <w:r>
              <w:rPr>
                <w:sz w:val="22"/>
                <w:szCs w:val="22"/>
              </w:rPr>
              <w:t>- Lưu VP, PC3</w:t>
            </w:r>
            <w:r w:rsidRPr="0013217E">
              <w:rPr>
                <w:sz w:val="22"/>
                <w:szCs w:val="22"/>
              </w:rPr>
              <w:t>.</w:t>
            </w:r>
          </w:p>
        </w:tc>
        <w:tc>
          <w:tcPr>
            <w:tcW w:w="5164" w:type="dxa"/>
            <w:tcBorders>
              <w:top w:val="nil"/>
              <w:left w:val="nil"/>
              <w:bottom w:val="nil"/>
              <w:right w:val="nil"/>
            </w:tcBorders>
          </w:tcPr>
          <w:p w:rsidR="00F979F3" w:rsidRDefault="00F979F3" w:rsidP="00CB1829">
            <w:pPr>
              <w:keepNext/>
              <w:rPr>
                <w:b/>
                <w:sz w:val="28"/>
                <w:szCs w:val="28"/>
              </w:rPr>
            </w:pPr>
            <w:r>
              <w:rPr>
                <w:b/>
                <w:sz w:val="28"/>
                <w:szCs w:val="28"/>
              </w:rPr>
              <w:t xml:space="preserve">  </w:t>
            </w:r>
          </w:p>
          <w:p w:rsidR="00F979F3" w:rsidRPr="0013217E" w:rsidRDefault="00F979F3" w:rsidP="00CB1829">
            <w:pPr>
              <w:keepNext/>
              <w:rPr>
                <w:b/>
                <w:sz w:val="28"/>
                <w:szCs w:val="28"/>
              </w:rPr>
            </w:pPr>
            <w:r w:rsidRPr="0013217E">
              <w:rPr>
                <w:b/>
                <w:sz w:val="28"/>
                <w:szCs w:val="28"/>
              </w:rPr>
              <w:t xml:space="preserve"> XÁC THỰC VĂN BẢN HỢP NHẤT</w:t>
            </w:r>
          </w:p>
          <w:p w:rsidR="00F979F3" w:rsidRPr="008E57E8" w:rsidRDefault="00F979F3" w:rsidP="00CB1829">
            <w:pPr>
              <w:keepNext/>
              <w:spacing w:before="360" w:after="120"/>
              <w:rPr>
                <w:i/>
                <w:sz w:val="28"/>
                <w:szCs w:val="28"/>
              </w:rPr>
            </w:pPr>
            <w:r>
              <w:rPr>
                <w:sz w:val="28"/>
                <w:szCs w:val="28"/>
              </w:rPr>
              <w:t xml:space="preserve">  </w:t>
            </w:r>
            <w:r w:rsidRPr="008E57E8">
              <w:rPr>
                <w:i/>
                <w:sz w:val="28"/>
                <w:szCs w:val="28"/>
              </w:rPr>
              <w:t xml:space="preserve">Hà Nội, ngày  </w:t>
            </w:r>
            <w:r w:rsidR="00BA7100">
              <w:rPr>
                <w:i/>
                <w:sz w:val="28"/>
                <w:szCs w:val="28"/>
              </w:rPr>
              <w:t>30</w:t>
            </w:r>
            <w:r w:rsidRPr="008E57E8">
              <w:rPr>
                <w:i/>
                <w:sz w:val="28"/>
                <w:szCs w:val="28"/>
              </w:rPr>
              <w:t xml:space="preserve">   tháng </w:t>
            </w:r>
            <w:r w:rsidR="00BA7100">
              <w:rPr>
                <w:i/>
                <w:sz w:val="28"/>
                <w:szCs w:val="28"/>
              </w:rPr>
              <w:t>10</w:t>
            </w:r>
            <w:r w:rsidRPr="008E57E8">
              <w:rPr>
                <w:i/>
                <w:sz w:val="28"/>
                <w:szCs w:val="28"/>
              </w:rPr>
              <w:t xml:space="preserve">    năm 2018</w:t>
            </w:r>
          </w:p>
          <w:p w:rsidR="00F979F3" w:rsidRPr="00497B42" w:rsidRDefault="00F979F3" w:rsidP="00CB1829">
            <w:pPr>
              <w:spacing w:before="120"/>
              <w:jc w:val="center"/>
              <w:rPr>
                <w:b/>
                <w:sz w:val="28"/>
                <w:szCs w:val="28"/>
                <w:lang w:val="pt-BR"/>
              </w:rPr>
            </w:pPr>
            <w:r>
              <w:rPr>
                <w:b/>
                <w:sz w:val="28"/>
                <w:szCs w:val="28"/>
                <w:lang w:val="pt-BR"/>
              </w:rPr>
              <w:t xml:space="preserve"> </w:t>
            </w:r>
            <w:r w:rsidRPr="00497B42">
              <w:rPr>
                <w:b/>
                <w:sz w:val="28"/>
                <w:szCs w:val="28"/>
                <w:lang w:val="pt-BR"/>
              </w:rPr>
              <w:t>KT.THỐNG ĐỐC</w:t>
            </w:r>
          </w:p>
          <w:p w:rsidR="00F979F3" w:rsidRPr="00497B42" w:rsidRDefault="00F979F3" w:rsidP="00CB1829">
            <w:pPr>
              <w:jc w:val="center"/>
              <w:rPr>
                <w:b/>
                <w:sz w:val="28"/>
                <w:szCs w:val="28"/>
                <w:lang w:val="pt-BR"/>
              </w:rPr>
            </w:pPr>
            <w:r w:rsidRPr="00497B42">
              <w:rPr>
                <w:b/>
                <w:sz w:val="28"/>
                <w:szCs w:val="28"/>
                <w:lang w:val="pt-BR"/>
              </w:rPr>
              <w:t xml:space="preserve">  PHÓ THỐNG ĐỐC </w:t>
            </w:r>
          </w:p>
          <w:p w:rsidR="00F979F3" w:rsidRPr="00497B42" w:rsidRDefault="00F979F3" w:rsidP="00CB1829">
            <w:pPr>
              <w:spacing w:line="360" w:lineRule="auto"/>
              <w:jc w:val="center"/>
              <w:rPr>
                <w:b/>
                <w:sz w:val="28"/>
                <w:szCs w:val="28"/>
                <w:lang w:val="pt-BR"/>
              </w:rPr>
            </w:pPr>
            <w:r w:rsidRPr="00497B42">
              <w:rPr>
                <w:b/>
                <w:sz w:val="28"/>
                <w:szCs w:val="28"/>
                <w:lang w:val="pt-BR"/>
              </w:rPr>
              <w:t xml:space="preserve">                  </w:t>
            </w:r>
          </w:p>
          <w:p w:rsidR="00F979F3" w:rsidRPr="00BA7100" w:rsidRDefault="00BA7100" w:rsidP="00BA7100">
            <w:pPr>
              <w:spacing w:line="360" w:lineRule="auto"/>
              <w:ind w:left="720"/>
              <w:rPr>
                <w:i/>
                <w:sz w:val="28"/>
                <w:szCs w:val="28"/>
                <w:lang w:val="pt-BR"/>
              </w:rPr>
            </w:pPr>
            <w:r w:rsidRPr="00BA7100">
              <w:rPr>
                <w:i/>
                <w:sz w:val="28"/>
                <w:szCs w:val="28"/>
                <w:lang w:val="pt-BR"/>
              </w:rPr>
              <w:t xml:space="preserve">                (Đã ký)</w:t>
            </w:r>
          </w:p>
          <w:p w:rsidR="00F979F3" w:rsidRPr="00497B42" w:rsidRDefault="00F979F3" w:rsidP="00CB1829">
            <w:pPr>
              <w:spacing w:line="360" w:lineRule="auto"/>
              <w:ind w:left="720"/>
              <w:jc w:val="center"/>
              <w:rPr>
                <w:b/>
                <w:i/>
                <w:sz w:val="28"/>
                <w:szCs w:val="28"/>
                <w:lang w:val="pt-BR"/>
              </w:rPr>
            </w:pPr>
            <w:r w:rsidRPr="00497B42">
              <w:rPr>
                <w:b/>
                <w:i/>
                <w:sz w:val="28"/>
                <w:szCs w:val="28"/>
                <w:lang w:val="pt-BR"/>
              </w:rPr>
              <w:t xml:space="preserve">      </w:t>
            </w:r>
          </w:p>
          <w:p w:rsidR="00F979F3" w:rsidRPr="00BA7100" w:rsidRDefault="00F979F3" w:rsidP="00CB1829">
            <w:pPr>
              <w:keepNext/>
              <w:spacing w:before="360" w:after="120"/>
              <w:rPr>
                <w:sz w:val="28"/>
                <w:szCs w:val="28"/>
                <w:lang w:val="pt-BR"/>
              </w:rPr>
            </w:pPr>
            <w:r w:rsidRPr="00497B42">
              <w:rPr>
                <w:rFonts w:eastAsia="Arial"/>
                <w:b/>
                <w:sz w:val="22"/>
                <w:szCs w:val="28"/>
                <w:lang w:val="pt-BR"/>
              </w:rPr>
              <w:t xml:space="preserve">               </w:t>
            </w:r>
            <w:r>
              <w:rPr>
                <w:rFonts w:eastAsia="Arial"/>
                <w:b/>
                <w:sz w:val="22"/>
                <w:szCs w:val="28"/>
                <w:lang w:val="pt-BR"/>
              </w:rPr>
              <w:t xml:space="preserve">            </w:t>
            </w:r>
            <w:r w:rsidRPr="00497B42">
              <w:rPr>
                <w:rFonts w:eastAsia="Arial"/>
                <w:b/>
                <w:sz w:val="28"/>
                <w:szCs w:val="28"/>
                <w:lang w:val="pt-BR"/>
              </w:rPr>
              <w:t>Nguyễn Đồng Tiến</w:t>
            </w:r>
          </w:p>
          <w:p w:rsidR="00F979F3" w:rsidRPr="00BA7100" w:rsidRDefault="00F979F3" w:rsidP="00CB1829">
            <w:pPr>
              <w:keepNext/>
              <w:spacing w:before="360" w:after="120"/>
              <w:rPr>
                <w:sz w:val="28"/>
                <w:szCs w:val="28"/>
                <w:lang w:val="pt-BR"/>
              </w:rPr>
            </w:pPr>
            <w:r w:rsidRPr="00BA7100">
              <w:rPr>
                <w:i/>
                <w:sz w:val="28"/>
                <w:szCs w:val="28"/>
                <w:lang w:val="pt-BR"/>
              </w:rPr>
              <w:t xml:space="preserve">           </w:t>
            </w:r>
          </w:p>
          <w:p w:rsidR="00F979F3" w:rsidRPr="00BA7100" w:rsidRDefault="00F979F3" w:rsidP="00CB1829">
            <w:pPr>
              <w:keepNext/>
              <w:spacing w:before="120" w:after="120"/>
              <w:ind w:firstLine="448"/>
              <w:rPr>
                <w:sz w:val="28"/>
                <w:szCs w:val="28"/>
                <w:lang w:val="pt-BR"/>
              </w:rPr>
            </w:pPr>
          </w:p>
        </w:tc>
      </w:tr>
      <w:tr w:rsidR="00F979F3" w:rsidRPr="00BA7100" w:rsidTr="00CB1829">
        <w:trPr>
          <w:trHeight w:val="2864"/>
        </w:trPr>
        <w:tc>
          <w:tcPr>
            <w:tcW w:w="4320" w:type="dxa"/>
            <w:tcBorders>
              <w:top w:val="nil"/>
              <w:left w:val="nil"/>
              <w:bottom w:val="nil"/>
              <w:right w:val="nil"/>
            </w:tcBorders>
          </w:tcPr>
          <w:p w:rsidR="00F979F3" w:rsidRPr="0013217E" w:rsidRDefault="00F979F3" w:rsidP="00CB1829">
            <w:pPr>
              <w:keepNext/>
              <w:rPr>
                <w:b/>
                <w:sz w:val="28"/>
                <w:szCs w:val="28"/>
                <w:lang w:val="vi-VN"/>
              </w:rPr>
            </w:pPr>
          </w:p>
        </w:tc>
        <w:tc>
          <w:tcPr>
            <w:tcW w:w="5164" w:type="dxa"/>
            <w:tcBorders>
              <w:top w:val="nil"/>
              <w:left w:val="nil"/>
              <w:bottom w:val="nil"/>
              <w:right w:val="nil"/>
            </w:tcBorders>
          </w:tcPr>
          <w:p w:rsidR="00F979F3" w:rsidRPr="00BA7100" w:rsidRDefault="00F979F3" w:rsidP="00CB1829">
            <w:pPr>
              <w:keepNext/>
              <w:rPr>
                <w:b/>
                <w:sz w:val="28"/>
                <w:szCs w:val="28"/>
                <w:lang w:val="pt-BR"/>
              </w:rPr>
            </w:pPr>
          </w:p>
        </w:tc>
      </w:tr>
    </w:tbl>
    <w:p w:rsidR="008B7F7F" w:rsidRPr="00BA7100" w:rsidRDefault="008B7F7F" w:rsidP="000653B7">
      <w:pPr>
        <w:spacing w:before="120" w:after="100" w:afterAutospacing="1"/>
        <w:rPr>
          <w:lang w:val="pt-BR"/>
        </w:rPr>
      </w:pPr>
    </w:p>
    <w:p w:rsidR="008B7F7F" w:rsidRPr="00BA7100" w:rsidRDefault="008B7F7F" w:rsidP="000653B7">
      <w:pPr>
        <w:spacing w:before="120" w:after="100" w:afterAutospacing="1"/>
        <w:rPr>
          <w:lang w:val="pt-BR"/>
        </w:rPr>
      </w:pPr>
    </w:p>
    <w:sectPr w:rsidR="008B7F7F" w:rsidRPr="00BA7100" w:rsidSect="00E951B2">
      <w:pgSz w:w="11906" w:h="16838"/>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503" w:rsidRDefault="00086503" w:rsidP="00EA6EA7">
      <w:r>
        <w:separator/>
      </w:r>
    </w:p>
  </w:endnote>
  <w:endnote w:type="continuationSeparator" w:id="1">
    <w:p w:rsidR="00086503" w:rsidRDefault="00086503" w:rsidP="00EA6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EB" w:rsidRDefault="001C7E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EB" w:rsidRDefault="001C7EEB">
    <w:pPr>
      <w:pStyle w:val="Footer"/>
      <w:jc w:val="center"/>
    </w:pPr>
    <w:fldSimple w:instr=" PAGE   \* MERGEFORMAT ">
      <w:r w:rsidR="00344D12">
        <w:rPr>
          <w:noProof/>
        </w:rPr>
        <w:t>14</w:t>
      </w:r>
    </w:fldSimple>
  </w:p>
  <w:p w:rsidR="001C7EEB" w:rsidRDefault="001C7E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EB" w:rsidRDefault="001C7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503" w:rsidRDefault="00086503" w:rsidP="00EA6EA7">
      <w:r>
        <w:separator/>
      </w:r>
    </w:p>
  </w:footnote>
  <w:footnote w:type="continuationSeparator" w:id="1">
    <w:p w:rsidR="00086503" w:rsidRDefault="00086503" w:rsidP="00EA6EA7">
      <w:r>
        <w:continuationSeparator/>
      </w:r>
    </w:p>
  </w:footnote>
  <w:footnote w:id="2">
    <w:p w:rsidR="000653B7" w:rsidRDefault="000653B7" w:rsidP="00510D2E">
      <w:pPr>
        <w:pStyle w:val="FootnoteText"/>
        <w:spacing w:line="380" w:lineRule="exact"/>
        <w:ind w:firstLine="706"/>
        <w:jc w:val="both"/>
        <w:rPr>
          <w:sz w:val="24"/>
          <w:szCs w:val="24"/>
          <w:lang w:val="pl-PL"/>
        </w:rPr>
      </w:pPr>
      <w:r w:rsidRPr="00FB6CD7">
        <w:rPr>
          <w:rStyle w:val="FootnoteReference"/>
          <w:sz w:val="24"/>
          <w:szCs w:val="24"/>
        </w:rPr>
        <w:footnoteRef/>
      </w:r>
      <w:r>
        <w:rPr>
          <w:sz w:val="24"/>
          <w:szCs w:val="24"/>
        </w:rPr>
        <w:t xml:space="preserve">  Thông tư số 25/2018</w:t>
      </w:r>
      <w:r w:rsidRPr="00FB6CD7">
        <w:rPr>
          <w:sz w:val="24"/>
          <w:szCs w:val="24"/>
        </w:rPr>
        <w:t xml:space="preserve">/TT-NHNN </w:t>
      </w:r>
      <w:r w:rsidRPr="00FB6CD7">
        <w:rPr>
          <w:sz w:val="24"/>
          <w:szCs w:val="24"/>
          <w:lang w:val="vi-VN"/>
        </w:rPr>
        <w:t xml:space="preserve">sửa đổi, bổ sung một số </w:t>
      </w:r>
      <w:r>
        <w:rPr>
          <w:sz w:val="24"/>
          <w:szCs w:val="24"/>
        </w:rPr>
        <w:t xml:space="preserve">điều của </w:t>
      </w:r>
      <w:r w:rsidRPr="00EA6EA7">
        <w:rPr>
          <w:sz w:val="24"/>
          <w:szCs w:val="24"/>
          <w:lang w:val="pl-PL"/>
        </w:rPr>
        <w:t>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Pr>
          <w:sz w:val="24"/>
          <w:szCs w:val="24"/>
          <w:lang w:val="pl-PL"/>
        </w:rPr>
        <w:t xml:space="preserve"> có căn cứ ban hành như sau:</w:t>
      </w:r>
    </w:p>
    <w:p w:rsidR="000653B7" w:rsidRPr="00BA7100" w:rsidRDefault="00B17DFC" w:rsidP="00510D2E">
      <w:pPr>
        <w:pStyle w:val="FootnoteText"/>
        <w:spacing w:line="380" w:lineRule="exact"/>
        <w:ind w:firstLine="706"/>
        <w:jc w:val="both"/>
        <w:rPr>
          <w:sz w:val="24"/>
          <w:szCs w:val="24"/>
          <w:lang w:val="pl-PL"/>
        </w:rPr>
      </w:pPr>
      <w:r w:rsidRPr="00BA7100">
        <w:rPr>
          <w:i/>
          <w:spacing w:val="-2"/>
          <w:sz w:val="24"/>
          <w:szCs w:val="24"/>
          <w:lang w:val="pl-PL"/>
        </w:rPr>
        <w:t>“</w:t>
      </w:r>
      <w:r w:rsidR="000653B7" w:rsidRPr="00BA7100">
        <w:rPr>
          <w:i/>
          <w:spacing w:val="-2"/>
          <w:sz w:val="24"/>
          <w:szCs w:val="24"/>
          <w:lang w:val="pl-PL"/>
        </w:rPr>
        <w:t>Căn cứ Luật Ngân hàng Nhà nước Việt Nam ngày 16 tháng 6 năm 2010;</w:t>
      </w:r>
    </w:p>
    <w:p w:rsidR="000653B7" w:rsidRPr="00BA7100" w:rsidRDefault="000653B7" w:rsidP="00510D2E">
      <w:pPr>
        <w:spacing w:before="120" w:line="380" w:lineRule="exact"/>
        <w:ind w:firstLine="706"/>
        <w:jc w:val="both"/>
        <w:rPr>
          <w:i/>
          <w:lang w:val="pl-PL"/>
        </w:rPr>
      </w:pPr>
      <w:r w:rsidRPr="00BA7100">
        <w:rPr>
          <w:i/>
          <w:lang w:val="pl-PL"/>
        </w:rPr>
        <w:t>Căn cứ Luật các tổ chức tín dụng ngày 16 tháng 6 năm 2010 và Luật sửa đổi, bổ sung một số điều của Luật các tổ chức tín dụng ngày 20 tháng 11 năm 2017;</w:t>
      </w:r>
    </w:p>
    <w:p w:rsidR="000653B7" w:rsidRPr="00BA7100" w:rsidRDefault="000653B7" w:rsidP="00510D2E">
      <w:pPr>
        <w:spacing w:before="120" w:line="380" w:lineRule="exact"/>
        <w:ind w:firstLine="706"/>
        <w:jc w:val="both"/>
        <w:rPr>
          <w:i/>
          <w:lang w:val="pl-PL"/>
        </w:rPr>
      </w:pPr>
      <w:r w:rsidRPr="00BA7100">
        <w:rPr>
          <w:i/>
          <w:lang w:val="pl-PL"/>
        </w:rPr>
        <w:t>Căn cứ Nghị định số 55/2015/NĐ-CP ngày 09 tháng 6 năm 2015 của Chính phủ về chính sách tín dụng phục vụ phát triển nông nghiệp, nông thôn;</w:t>
      </w:r>
    </w:p>
    <w:p w:rsidR="000653B7" w:rsidRPr="00BA7100" w:rsidRDefault="000653B7" w:rsidP="00510D2E">
      <w:pPr>
        <w:spacing w:before="120" w:line="380" w:lineRule="exact"/>
        <w:ind w:firstLine="706"/>
        <w:jc w:val="both"/>
        <w:rPr>
          <w:i/>
          <w:lang w:val="pl-PL"/>
        </w:rPr>
      </w:pPr>
      <w:r w:rsidRPr="00BA7100">
        <w:rPr>
          <w:i/>
          <w:lang w:val="pl-PL"/>
        </w:rPr>
        <w:t>Căn cứ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w:t>
      </w:r>
    </w:p>
    <w:p w:rsidR="000653B7" w:rsidRPr="00BA7100" w:rsidRDefault="000653B7" w:rsidP="004C1425">
      <w:pPr>
        <w:spacing w:before="120" w:line="380" w:lineRule="exact"/>
        <w:ind w:firstLine="706"/>
        <w:jc w:val="both"/>
        <w:rPr>
          <w:i/>
          <w:lang w:val="pl-PL"/>
        </w:rPr>
      </w:pPr>
      <w:r w:rsidRPr="00BA7100">
        <w:rPr>
          <w:i/>
          <w:lang w:val="pl-PL"/>
        </w:rPr>
        <w:t xml:space="preserve">Căn cứ Nghị định số 16/2017/NĐ-CP ngày 17 tháng 02 năm 2017 của Chính phủ quy định chức năng, nhiệm vụ, quyền hạn và cơ cấu tổ chức của Ngân hàng Nhà nước Việt Nam; </w:t>
      </w:r>
    </w:p>
    <w:p w:rsidR="000653B7" w:rsidRPr="00BA7100" w:rsidRDefault="000653B7" w:rsidP="004C1425">
      <w:pPr>
        <w:spacing w:before="120" w:line="380" w:lineRule="exact"/>
        <w:ind w:firstLine="706"/>
        <w:jc w:val="both"/>
        <w:rPr>
          <w:i/>
          <w:lang w:val="pl-PL"/>
        </w:rPr>
      </w:pPr>
      <w:r w:rsidRPr="00BA7100">
        <w:rPr>
          <w:i/>
          <w:lang w:val="pl-PL"/>
        </w:rPr>
        <w:t>Theo đề nghị của Vụ trưởng Vụ Tín dụng các ngành kinh tế;</w:t>
      </w:r>
    </w:p>
    <w:p w:rsidR="000653B7" w:rsidRPr="00BA7100" w:rsidRDefault="000653B7" w:rsidP="004C1425">
      <w:pPr>
        <w:spacing w:before="120" w:line="380" w:lineRule="exact"/>
        <w:ind w:firstLine="709"/>
        <w:jc w:val="both"/>
        <w:rPr>
          <w:i/>
          <w:lang w:val="pl-PL"/>
        </w:rPr>
      </w:pPr>
      <w:r w:rsidRPr="00BA7100">
        <w:rPr>
          <w:i/>
          <w:lang w:val="pl-PL"/>
        </w:rPr>
        <w:t>Thống đốc Ngân hàng Nhà nước Việt Nam ban hành Thông tư sửa đổi, bổ sung một số điều của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00B17DFC" w:rsidRPr="00BA7100">
        <w:rPr>
          <w:i/>
          <w:lang w:val="pl-PL"/>
        </w:rPr>
        <w:t>.”</w:t>
      </w:r>
    </w:p>
  </w:footnote>
  <w:footnote w:id="3">
    <w:p w:rsidR="000653B7" w:rsidRPr="00BA7100" w:rsidRDefault="000653B7" w:rsidP="004C1425">
      <w:pPr>
        <w:spacing w:line="380" w:lineRule="exact"/>
        <w:ind w:firstLine="709"/>
        <w:jc w:val="both"/>
        <w:rPr>
          <w:i/>
          <w:lang w:val="pl-PL"/>
        </w:rPr>
      </w:pPr>
      <w:r w:rsidRPr="00FB6CD7">
        <w:rPr>
          <w:rStyle w:val="FootnoteReference"/>
        </w:rPr>
        <w:footnoteRef/>
      </w:r>
      <w:r w:rsidRPr="00BA7100">
        <w:rPr>
          <w:lang w:val="pl-PL"/>
        </w:rPr>
        <w:t xml:space="preserve">  Điều này đã được sửa đổi theo quy định tại Khoản 1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4">
    <w:p w:rsidR="000653B7" w:rsidRPr="00BA7100" w:rsidRDefault="000653B7" w:rsidP="004C1425">
      <w:pPr>
        <w:spacing w:line="380" w:lineRule="exact"/>
        <w:ind w:firstLine="709"/>
        <w:jc w:val="both"/>
        <w:rPr>
          <w:i/>
          <w:lang w:val="pl-PL"/>
        </w:rPr>
      </w:pPr>
      <w:r w:rsidRPr="00FB6CD7">
        <w:rPr>
          <w:rStyle w:val="FootnoteReference"/>
        </w:rPr>
        <w:footnoteRef/>
      </w:r>
      <w:r w:rsidRPr="00BA7100">
        <w:rPr>
          <w:lang w:val="pl-PL"/>
        </w:rPr>
        <w:t xml:space="preserve">  Khoản này đã được sửa đổi theo quy định tại Khoản 2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5">
    <w:p w:rsidR="000653B7" w:rsidRPr="00BA7100" w:rsidRDefault="000653B7" w:rsidP="004C1425">
      <w:pPr>
        <w:spacing w:line="380" w:lineRule="exact"/>
        <w:ind w:firstLine="706"/>
        <w:jc w:val="both"/>
        <w:rPr>
          <w:i/>
          <w:lang w:val="pl-PL"/>
        </w:rPr>
      </w:pPr>
      <w:r w:rsidRPr="00FB6CD7">
        <w:rPr>
          <w:rStyle w:val="FootnoteReference"/>
        </w:rPr>
        <w:footnoteRef/>
      </w:r>
      <w:r w:rsidR="00802BCE" w:rsidRPr="00BA7100">
        <w:rPr>
          <w:lang w:val="pl-PL"/>
        </w:rPr>
        <w:t xml:space="preserve"> Khoản này đã được sửa đổi </w:t>
      </w:r>
      <w:r w:rsidRPr="00BA7100">
        <w:rPr>
          <w:lang w:val="pl-PL"/>
        </w:rPr>
        <w:t>theo quy định tại Khoản 3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6">
    <w:p w:rsidR="00B632C0" w:rsidRPr="00BA7100" w:rsidRDefault="00B632C0" w:rsidP="00B632C0">
      <w:pPr>
        <w:spacing w:line="380" w:lineRule="exact"/>
        <w:ind w:firstLine="709"/>
        <w:jc w:val="both"/>
        <w:rPr>
          <w:i/>
          <w:lang w:val="pl-PL"/>
        </w:rPr>
      </w:pPr>
      <w:r w:rsidRPr="00FB6CD7">
        <w:rPr>
          <w:rStyle w:val="FootnoteReference"/>
        </w:rPr>
        <w:footnoteRef/>
      </w:r>
      <w:r w:rsidRPr="00BA7100">
        <w:rPr>
          <w:lang w:val="pl-PL"/>
        </w:rPr>
        <w:t xml:space="preserve"> Điều này đã được bổ sung theo quy định tại Khoản 4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7">
    <w:p w:rsidR="000653B7" w:rsidRPr="00BA7100" w:rsidRDefault="000653B7" w:rsidP="004C1425">
      <w:pPr>
        <w:spacing w:line="380" w:lineRule="exact"/>
        <w:ind w:firstLine="709"/>
        <w:jc w:val="both"/>
        <w:rPr>
          <w:i/>
          <w:lang w:val="pl-PL"/>
        </w:rPr>
      </w:pPr>
      <w:r w:rsidRPr="00FB6CD7">
        <w:rPr>
          <w:rStyle w:val="FootnoteReference"/>
        </w:rPr>
        <w:footnoteRef/>
      </w:r>
      <w:r w:rsidRPr="00BA7100">
        <w:rPr>
          <w:lang w:val="pl-PL"/>
        </w:rPr>
        <w:t xml:space="preserve">  Điều này đã được sửa đổi theo quy định tại Khoản 5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8">
    <w:p w:rsidR="000653B7" w:rsidRPr="00BA7100" w:rsidRDefault="000653B7" w:rsidP="000F6BDC">
      <w:pPr>
        <w:spacing w:line="380" w:lineRule="exact"/>
        <w:ind w:firstLine="709"/>
        <w:jc w:val="both"/>
        <w:rPr>
          <w:i/>
          <w:lang w:val="pl-PL"/>
        </w:rPr>
      </w:pPr>
      <w:r w:rsidRPr="00FB6CD7">
        <w:rPr>
          <w:rStyle w:val="FootnoteReference"/>
        </w:rPr>
        <w:footnoteRef/>
      </w:r>
      <w:r w:rsidRPr="00BA7100">
        <w:rPr>
          <w:lang w:val="pl-PL"/>
        </w:rPr>
        <w:t xml:space="preserve">  Khoản này đã được sửa đổi theo quy định tại Khoản 6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9">
    <w:p w:rsidR="000653B7" w:rsidRPr="00BA7100" w:rsidRDefault="000653B7" w:rsidP="004C1425">
      <w:pPr>
        <w:spacing w:line="380" w:lineRule="exact"/>
        <w:ind w:firstLine="706"/>
        <w:jc w:val="both"/>
        <w:rPr>
          <w:i/>
          <w:lang w:val="pl-PL"/>
        </w:rPr>
      </w:pPr>
      <w:r w:rsidRPr="00FB6CD7">
        <w:rPr>
          <w:rStyle w:val="FootnoteReference"/>
        </w:rPr>
        <w:footnoteRef/>
      </w:r>
      <w:r w:rsidRPr="00BA7100">
        <w:rPr>
          <w:lang w:val="pl-PL"/>
        </w:rPr>
        <w:t xml:space="preserve">  Khoản này đã được sửa đổi theo quy định tại Khoản 6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0">
    <w:p w:rsidR="000653B7" w:rsidRPr="00BA7100" w:rsidRDefault="000653B7" w:rsidP="004C1425">
      <w:pPr>
        <w:spacing w:line="380" w:lineRule="exact"/>
        <w:ind w:firstLine="706"/>
        <w:jc w:val="both"/>
        <w:rPr>
          <w:i/>
          <w:lang w:val="pl-PL"/>
        </w:rPr>
      </w:pPr>
      <w:r w:rsidRPr="00FB6CD7">
        <w:rPr>
          <w:rStyle w:val="FootnoteReference"/>
        </w:rPr>
        <w:footnoteRef/>
      </w:r>
      <w:r w:rsidRPr="00BA7100">
        <w:rPr>
          <w:lang w:val="pl-PL"/>
        </w:rPr>
        <w:t xml:space="preserve">  Khoản này đã được sửa đổi theo quy định tại Khoản 6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1">
    <w:p w:rsidR="000653B7" w:rsidRPr="00BA7100" w:rsidRDefault="000653B7" w:rsidP="004C1425">
      <w:pPr>
        <w:spacing w:line="380" w:lineRule="exact"/>
        <w:ind w:firstLine="706"/>
        <w:jc w:val="both"/>
        <w:rPr>
          <w:i/>
          <w:lang w:val="pl-PL"/>
        </w:rPr>
      </w:pPr>
      <w:r w:rsidRPr="00FB6CD7">
        <w:rPr>
          <w:rStyle w:val="FootnoteReference"/>
        </w:rPr>
        <w:footnoteRef/>
      </w:r>
      <w:r w:rsidRPr="00BA7100">
        <w:rPr>
          <w:lang w:val="pl-PL"/>
        </w:rPr>
        <w:t xml:space="preserve">  Khoản này đã được sửa đổi theo quy định tại Khoản 6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2">
    <w:p w:rsidR="000653B7" w:rsidRPr="00BA7100" w:rsidRDefault="000653B7" w:rsidP="004C1425">
      <w:pPr>
        <w:spacing w:line="380" w:lineRule="exact"/>
        <w:ind w:firstLine="706"/>
        <w:jc w:val="both"/>
        <w:rPr>
          <w:i/>
          <w:lang w:val="pl-PL"/>
        </w:rPr>
      </w:pPr>
      <w:r w:rsidRPr="00FB6CD7">
        <w:rPr>
          <w:rStyle w:val="FootnoteReference"/>
        </w:rPr>
        <w:footnoteRef/>
      </w:r>
      <w:r w:rsidRPr="00BA7100">
        <w:rPr>
          <w:lang w:val="pl-PL"/>
        </w:rPr>
        <w:t xml:space="preserve">  Khoản này đã được bổ sung theo quy định tại Khoản 6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3">
    <w:p w:rsidR="000653B7" w:rsidRPr="00BA7100" w:rsidRDefault="000653B7" w:rsidP="004C1425">
      <w:pPr>
        <w:spacing w:line="380" w:lineRule="exact"/>
        <w:ind w:firstLine="709"/>
        <w:jc w:val="both"/>
        <w:rPr>
          <w:i/>
          <w:lang w:val="pl-PL"/>
        </w:rPr>
      </w:pPr>
      <w:r w:rsidRPr="00FB6CD7">
        <w:rPr>
          <w:rStyle w:val="FootnoteReference"/>
        </w:rPr>
        <w:footnoteRef/>
      </w:r>
      <w:r w:rsidRPr="00BA7100">
        <w:rPr>
          <w:lang w:val="pl-PL"/>
        </w:rPr>
        <w:t xml:space="preserve">  Điểm này đã được sửa đổi theo quy định tại Khoản 7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p w:rsidR="000653B7" w:rsidRPr="00BA7100" w:rsidRDefault="000653B7" w:rsidP="004C1425">
      <w:pPr>
        <w:spacing w:after="100" w:line="380" w:lineRule="exact"/>
        <w:ind w:firstLine="720"/>
        <w:jc w:val="both"/>
        <w:rPr>
          <w:lang w:val="pl-PL"/>
        </w:rPr>
      </w:pPr>
    </w:p>
  </w:footnote>
  <w:footnote w:id="14">
    <w:p w:rsidR="000653B7" w:rsidRPr="00BA7100" w:rsidRDefault="000653B7" w:rsidP="000F6BDC">
      <w:pPr>
        <w:spacing w:line="380" w:lineRule="exact"/>
        <w:ind w:firstLine="709"/>
        <w:jc w:val="both"/>
        <w:rPr>
          <w:i/>
          <w:lang w:val="pl-PL"/>
        </w:rPr>
      </w:pPr>
      <w:r w:rsidRPr="00FB6CD7">
        <w:rPr>
          <w:rStyle w:val="FootnoteReference"/>
        </w:rPr>
        <w:footnoteRef/>
      </w:r>
      <w:r w:rsidRPr="00BA7100">
        <w:rPr>
          <w:lang w:val="pl-PL"/>
        </w:rPr>
        <w:t xml:space="preserve">  Điểm này đã được sửa đổi theo quy định tại Khoản 7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5">
    <w:p w:rsidR="000653B7" w:rsidRPr="00BA7100" w:rsidRDefault="000653B7" w:rsidP="004C1425">
      <w:pPr>
        <w:spacing w:line="380" w:lineRule="exact"/>
        <w:ind w:firstLine="709"/>
        <w:jc w:val="both"/>
        <w:rPr>
          <w:i/>
          <w:lang w:val="pl-PL"/>
        </w:rPr>
      </w:pPr>
      <w:r w:rsidRPr="00FB6CD7">
        <w:rPr>
          <w:rStyle w:val="FootnoteReference"/>
        </w:rPr>
        <w:footnoteRef/>
      </w:r>
      <w:r w:rsidRPr="00BA7100">
        <w:rPr>
          <w:lang w:val="pl-PL"/>
        </w:rPr>
        <w:t xml:space="preserve">  Điểm này đã được bãi bỏ theo quy định tại Điều 2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6">
    <w:p w:rsidR="00997948" w:rsidRPr="00BA7100" w:rsidRDefault="00997948" w:rsidP="004C1425">
      <w:pPr>
        <w:pStyle w:val="FootnoteText"/>
        <w:spacing w:line="380" w:lineRule="exact"/>
        <w:ind w:firstLine="709"/>
        <w:jc w:val="both"/>
        <w:rPr>
          <w:sz w:val="24"/>
          <w:szCs w:val="24"/>
          <w:lang w:val="pl-PL"/>
        </w:rPr>
      </w:pPr>
      <w:r w:rsidRPr="00FB6CD7">
        <w:rPr>
          <w:rStyle w:val="FootnoteReference"/>
        </w:rPr>
        <w:footnoteRef/>
      </w:r>
      <w:r w:rsidRPr="00BA7100">
        <w:rPr>
          <w:lang w:val="pl-PL"/>
        </w:rPr>
        <w:t xml:space="preserve">  </w:t>
      </w:r>
      <w:r w:rsidR="008B7F7F" w:rsidRPr="00BA7100">
        <w:rPr>
          <w:sz w:val="24"/>
          <w:szCs w:val="24"/>
          <w:lang w:val="pl-PL"/>
        </w:rPr>
        <w:t>Điều 3, Điều 4, Điều 5 Thông tư số 25/2018/TT-NHNN</w:t>
      </w:r>
      <w:r w:rsidR="008B7F7F" w:rsidRPr="008B7F7F">
        <w:rPr>
          <w:sz w:val="24"/>
          <w:szCs w:val="24"/>
          <w:lang w:val="vi-VN"/>
        </w:rPr>
        <w:t xml:space="preserve"> sửa đổi, bổ sung một số </w:t>
      </w:r>
      <w:r w:rsidR="008B7F7F" w:rsidRPr="00BA7100">
        <w:rPr>
          <w:sz w:val="24"/>
          <w:szCs w:val="24"/>
          <w:lang w:val="pl-PL"/>
        </w:rPr>
        <w:t xml:space="preserve">điều của </w:t>
      </w:r>
      <w:r w:rsidR="008B7F7F" w:rsidRPr="008B7F7F">
        <w:rPr>
          <w:sz w:val="24"/>
          <w:szCs w:val="24"/>
          <w:lang w:val="pl-PL"/>
        </w:rPr>
        <w:t>Thông tư số 10/2015/TT-NHNN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008B7F7F" w:rsidRPr="00BA7100">
        <w:rPr>
          <w:sz w:val="24"/>
          <w:szCs w:val="24"/>
          <w:lang w:val="pl-PL"/>
        </w:rPr>
        <w:t>, có hiệu lực kể từ ngày 10 tháng 12 năm 2018 quy định như sau:</w:t>
      </w:r>
    </w:p>
    <w:p w:rsidR="008B7F7F" w:rsidRPr="008B7F7F" w:rsidRDefault="008B7F7F" w:rsidP="004C1425">
      <w:pPr>
        <w:spacing w:before="120" w:after="120" w:line="380" w:lineRule="exact"/>
        <w:ind w:firstLine="709"/>
        <w:jc w:val="both"/>
        <w:rPr>
          <w:b/>
          <w:i/>
          <w:lang w:val="pl-PL"/>
        </w:rPr>
      </w:pPr>
      <w:r w:rsidRPr="00BA7100">
        <w:rPr>
          <w:i/>
          <w:lang w:val="pl-PL"/>
        </w:rPr>
        <w:t>“</w:t>
      </w:r>
      <w:r w:rsidRPr="008B7F7F">
        <w:rPr>
          <w:b/>
          <w:i/>
          <w:lang w:val="pl-PL"/>
        </w:rPr>
        <w:t>Điều 3. Quy định chuyển tiếp</w:t>
      </w:r>
    </w:p>
    <w:p w:rsidR="008B7F7F" w:rsidRPr="008B7F7F" w:rsidRDefault="008B7F7F" w:rsidP="004C1425">
      <w:pPr>
        <w:autoSpaceDE w:val="0"/>
        <w:autoSpaceDN w:val="0"/>
        <w:spacing w:before="120" w:after="120" w:line="380" w:lineRule="exact"/>
        <w:ind w:firstLine="709"/>
        <w:jc w:val="both"/>
        <w:rPr>
          <w:i/>
          <w:lang w:val="pl-PL"/>
        </w:rPr>
      </w:pPr>
      <w:r w:rsidRPr="008B7F7F">
        <w:rPr>
          <w:i/>
          <w:lang w:val="pl-PL"/>
        </w:rPr>
        <w:t xml:space="preserve">Đối với các hợp đồng tín dụng được ký kết trước ngày Thông tư này có hiệu lực thi hành, tổ chức tín dụng và khách hàng tiếp tục thực hiện các nội dung trong hợp đồng tín dụng đã ký kết phù hợp với quy định của pháp luật có hiệu lực tại thời điểm ký kết hợp đồng đó hoặc sửa đổi, bổ sung hợp đồng tín dụng phù hợp với quy định tại Thông tư này. </w:t>
      </w:r>
    </w:p>
    <w:p w:rsidR="008B7F7F" w:rsidRPr="008B7F7F" w:rsidRDefault="008B7F7F" w:rsidP="004C1425">
      <w:pPr>
        <w:spacing w:before="120" w:after="120" w:line="380" w:lineRule="exact"/>
        <w:ind w:firstLine="709"/>
        <w:jc w:val="both"/>
        <w:rPr>
          <w:b/>
          <w:i/>
          <w:lang w:val="pl-PL"/>
        </w:rPr>
      </w:pPr>
      <w:r w:rsidRPr="008B7F7F">
        <w:rPr>
          <w:b/>
          <w:i/>
          <w:lang w:val="pl-PL"/>
        </w:rPr>
        <w:t>Điều 4. Trách nhiệm tổ chức thực hiện</w:t>
      </w:r>
    </w:p>
    <w:p w:rsidR="008B7F7F" w:rsidRPr="008B7F7F" w:rsidRDefault="008B7F7F" w:rsidP="004C1425">
      <w:pPr>
        <w:spacing w:before="120" w:after="120" w:line="380" w:lineRule="exact"/>
        <w:ind w:firstLine="709"/>
        <w:jc w:val="both"/>
        <w:rPr>
          <w:i/>
          <w:lang w:val="pl-PL"/>
        </w:rPr>
      </w:pPr>
      <w:r w:rsidRPr="008B7F7F">
        <w:rPr>
          <w:i/>
          <w:lang w:val="pl-PL"/>
        </w:rPr>
        <w:t>Chánh Văn phòng, Vụ trưởng Vụ Tín dụng các ngành kinh tế,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8B7F7F" w:rsidRPr="008B7F7F" w:rsidRDefault="008B7F7F" w:rsidP="004C1425">
      <w:pPr>
        <w:spacing w:before="120" w:after="120" w:line="380" w:lineRule="exact"/>
        <w:ind w:firstLine="709"/>
        <w:jc w:val="both"/>
        <w:rPr>
          <w:b/>
          <w:i/>
          <w:lang w:val="pl-PL"/>
        </w:rPr>
      </w:pPr>
      <w:r w:rsidRPr="008B7F7F">
        <w:rPr>
          <w:b/>
          <w:i/>
          <w:lang w:val="pl-PL"/>
        </w:rPr>
        <w:t>Điều 5. Hiệu lực thi hành</w:t>
      </w:r>
    </w:p>
    <w:p w:rsidR="00997948" w:rsidRPr="00706B83" w:rsidRDefault="008B7F7F" w:rsidP="004C1425">
      <w:pPr>
        <w:spacing w:before="120" w:after="360" w:line="380" w:lineRule="exact"/>
        <w:ind w:firstLine="709"/>
        <w:jc w:val="both"/>
        <w:rPr>
          <w:i/>
          <w:lang w:val="pl-PL"/>
        </w:rPr>
      </w:pPr>
      <w:r w:rsidRPr="008B7F7F">
        <w:rPr>
          <w:i/>
          <w:lang w:val="pl-PL"/>
        </w:rPr>
        <w:t>Thông tư này có hiệu lực từ ngày 10 tháng 12 năm 2018./.</w:t>
      </w:r>
      <w:r w:rsidR="00B639F6">
        <w:rPr>
          <w:i/>
          <w:lang w:val="pl-PL"/>
        </w:rPr>
        <w:t>”</w:t>
      </w:r>
    </w:p>
  </w:footnote>
  <w:footnote w:id="17">
    <w:p w:rsidR="003D45BD" w:rsidRPr="00BA7100" w:rsidRDefault="003D45BD" w:rsidP="004C1425">
      <w:pPr>
        <w:spacing w:line="380" w:lineRule="exact"/>
        <w:ind w:firstLine="709"/>
        <w:jc w:val="both"/>
        <w:rPr>
          <w:i/>
          <w:lang w:val="pl-PL"/>
        </w:rPr>
      </w:pPr>
      <w:r w:rsidRPr="00FB6CD7">
        <w:rPr>
          <w:rStyle w:val="FootnoteReference"/>
        </w:rPr>
        <w:footnoteRef/>
      </w:r>
      <w:r w:rsidRPr="00BA7100">
        <w:rPr>
          <w:lang w:val="pl-PL"/>
        </w:rPr>
        <w:t xml:space="preserve">  Mẫu biểu này đã được bãi bỏ theo quy định tại Điều 2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8">
    <w:p w:rsidR="003D45BD" w:rsidRPr="00BA7100" w:rsidRDefault="003D45BD" w:rsidP="004C1425">
      <w:pPr>
        <w:spacing w:line="380" w:lineRule="exact"/>
        <w:ind w:firstLine="709"/>
        <w:jc w:val="both"/>
        <w:rPr>
          <w:i/>
          <w:lang w:val="pl-PL"/>
        </w:rPr>
      </w:pPr>
      <w:r w:rsidRPr="00FB6CD7">
        <w:rPr>
          <w:rStyle w:val="FootnoteReference"/>
        </w:rPr>
        <w:footnoteRef/>
      </w:r>
      <w:r w:rsidRPr="00BA7100">
        <w:rPr>
          <w:lang w:val="pl-PL"/>
        </w:rPr>
        <w:t xml:space="preserve">  Mẫu biểu này đã được bãi bỏ theo quy định tại Điều 2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19">
    <w:p w:rsidR="00D96D69" w:rsidRPr="00BA7100" w:rsidRDefault="00D96D69" w:rsidP="00D96D69">
      <w:pPr>
        <w:spacing w:line="380" w:lineRule="exact"/>
        <w:ind w:firstLine="709"/>
        <w:jc w:val="both"/>
        <w:rPr>
          <w:i/>
          <w:lang w:val="pl-PL"/>
        </w:rPr>
      </w:pPr>
      <w:r w:rsidRPr="00FB6CD7">
        <w:rPr>
          <w:rStyle w:val="FootnoteReference"/>
        </w:rPr>
        <w:footnoteRef/>
      </w:r>
      <w:r w:rsidRPr="00BA7100">
        <w:rPr>
          <w:lang w:val="pl-PL"/>
        </w:rPr>
        <w:t xml:space="preserve">  Mẫu biểu này đã được bãi bỏ theo quy định tại Điều 2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20">
    <w:p w:rsidR="003D45BD" w:rsidRPr="00BA7100" w:rsidRDefault="003D45BD" w:rsidP="004C1425">
      <w:pPr>
        <w:spacing w:line="380" w:lineRule="exact"/>
        <w:ind w:firstLine="709"/>
        <w:jc w:val="both"/>
        <w:rPr>
          <w:i/>
          <w:lang w:val="pl-PL"/>
        </w:rPr>
      </w:pPr>
      <w:r w:rsidRPr="00FB6CD7">
        <w:rPr>
          <w:rStyle w:val="FootnoteReference"/>
        </w:rPr>
        <w:footnoteRef/>
      </w:r>
      <w:r w:rsidRPr="00BA7100">
        <w:rPr>
          <w:lang w:val="pl-PL"/>
        </w:rPr>
        <w:t xml:space="preserve">  Mẫu biểu này đã được bãi bỏ theo quy định tại Điều 2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21">
    <w:p w:rsidR="003D45BD" w:rsidRPr="00BA7100" w:rsidRDefault="003D45BD" w:rsidP="004C1425">
      <w:pPr>
        <w:spacing w:line="380" w:lineRule="exact"/>
        <w:ind w:firstLine="709"/>
        <w:jc w:val="both"/>
        <w:rPr>
          <w:i/>
          <w:lang w:val="pl-PL"/>
        </w:rPr>
      </w:pPr>
      <w:r w:rsidRPr="00FB6CD7">
        <w:rPr>
          <w:rStyle w:val="FootnoteReference"/>
        </w:rPr>
        <w:footnoteRef/>
      </w:r>
      <w:r w:rsidR="00B639F6" w:rsidRPr="00BA7100">
        <w:rPr>
          <w:lang w:val="pl-PL"/>
        </w:rPr>
        <w:t xml:space="preserve"> </w:t>
      </w:r>
      <w:r w:rsidRPr="00BA7100">
        <w:rPr>
          <w:lang w:val="pl-PL"/>
        </w:rPr>
        <w:t>Mẫu biểu này đã được bãi bỏ theo quy định tại Điều 2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22">
    <w:p w:rsidR="003D45BD" w:rsidRPr="00BA7100" w:rsidRDefault="003D45BD" w:rsidP="004C1425">
      <w:pPr>
        <w:spacing w:line="380" w:lineRule="exact"/>
        <w:ind w:firstLine="709"/>
        <w:jc w:val="both"/>
        <w:rPr>
          <w:i/>
          <w:lang w:val="pl-PL"/>
        </w:rPr>
      </w:pPr>
      <w:r w:rsidRPr="00FB6CD7">
        <w:rPr>
          <w:rStyle w:val="FootnoteReference"/>
        </w:rPr>
        <w:footnoteRef/>
      </w:r>
      <w:r w:rsidRPr="00BA7100">
        <w:rPr>
          <w:lang w:val="pl-PL"/>
        </w:rPr>
        <w:t xml:space="preserve">  Mẫu biểu này đã được bãi bỏ theo quy định tại Điều 2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footnote>
  <w:footnote w:id="23">
    <w:p w:rsidR="003D45BD" w:rsidRPr="00BA7100" w:rsidRDefault="003D45BD" w:rsidP="00706B83">
      <w:pPr>
        <w:spacing w:line="380" w:lineRule="exact"/>
        <w:ind w:firstLine="709"/>
        <w:jc w:val="both"/>
        <w:rPr>
          <w:i/>
          <w:lang w:val="pl-PL"/>
        </w:rPr>
      </w:pPr>
      <w:r w:rsidRPr="00FB6CD7">
        <w:rPr>
          <w:rStyle w:val="FootnoteReference"/>
        </w:rPr>
        <w:footnoteRef/>
      </w:r>
      <w:r w:rsidR="00E71CC7" w:rsidRPr="00BA7100">
        <w:rPr>
          <w:lang w:val="pl-PL"/>
        </w:rPr>
        <w:t xml:space="preserve">  Mẫu biểu này</w:t>
      </w:r>
      <w:r w:rsidRPr="00BA7100">
        <w:rPr>
          <w:lang w:val="pl-PL"/>
        </w:rPr>
        <w:t xml:space="preserve"> được quy định tại Khoản 6 Điều 1 của Thông tư số 25/2018/TT-NHNN</w:t>
      </w:r>
      <w:r w:rsidRPr="00D0129B">
        <w:rPr>
          <w:lang w:val="vi-VN"/>
        </w:rPr>
        <w:t xml:space="preserve"> </w:t>
      </w:r>
      <w:r w:rsidRPr="00FB6CD7">
        <w:rPr>
          <w:lang w:val="vi-VN"/>
        </w:rPr>
        <w:t xml:space="preserve">sửa đổi, bổ sung một số </w:t>
      </w:r>
      <w:r w:rsidRPr="00BA7100">
        <w:rPr>
          <w:lang w:val="pl-PL"/>
        </w:rPr>
        <w:t xml:space="preserve">điều của </w:t>
      </w:r>
      <w:r w:rsidRPr="00EA6EA7">
        <w:rPr>
          <w:lang w:val="pl-PL"/>
        </w:rPr>
        <w:t>Thông tư số 10/2015/TT-NHNN</w:t>
      </w:r>
      <w:r>
        <w:rPr>
          <w:lang w:val="pl-PL"/>
        </w:rPr>
        <w:t xml:space="preserve"> </w:t>
      </w:r>
      <w:r w:rsidRPr="00EA6EA7">
        <w:rPr>
          <w:lang w:val="pl-PL"/>
        </w:rPr>
        <w:t>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r w:rsidRPr="00BA7100">
        <w:rPr>
          <w:lang w:val="pl-PL"/>
        </w:rPr>
        <w:t>, có hiệu lực kể từ ngày 10 tháng 12 năm 2018.</w:t>
      </w:r>
    </w:p>
    <w:p w:rsidR="003D45BD" w:rsidRPr="00BA7100" w:rsidRDefault="003D45BD" w:rsidP="00706B83">
      <w:pPr>
        <w:pStyle w:val="FootnoteText"/>
        <w:spacing w:line="380" w:lineRule="exact"/>
        <w:ind w:firstLine="709"/>
        <w:jc w:val="both"/>
        <w:rPr>
          <w:i/>
          <w:sz w:val="24"/>
          <w:szCs w:val="24"/>
          <w:lang w:val="pl-PL"/>
        </w:rPr>
      </w:pPr>
    </w:p>
    <w:p w:rsidR="003D45BD" w:rsidRPr="00BA7100" w:rsidRDefault="003D45BD" w:rsidP="00706B83">
      <w:pPr>
        <w:spacing w:after="100" w:line="380" w:lineRule="exact"/>
        <w:ind w:firstLine="720"/>
        <w:jc w:val="both"/>
        <w:rPr>
          <w:lang w:val="pl-P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EB" w:rsidRDefault="001C7E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EB" w:rsidRDefault="001C7E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EB" w:rsidRDefault="001C7E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951B2"/>
    <w:rsid w:val="00006CB3"/>
    <w:rsid w:val="00040617"/>
    <w:rsid w:val="000653B7"/>
    <w:rsid w:val="00086503"/>
    <w:rsid w:val="000F6BDC"/>
    <w:rsid w:val="00115C09"/>
    <w:rsid w:val="001A23B8"/>
    <w:rsid w:val="001C7EEB"/>
    <w:rsid w:val="00234F3D"/>
    <w:rsid w:val="002635BD"/>
    <w:rsid w:val="002F4B59"/>
    <w:rsid w:val="00344D12"/>
    <w:rsid w:val="003C2434"/>
    <w:rsid w:val="003D45BD"/>
    <w:rsid w:val="00407291"/>
    <w:rsid w:val="00413480"/>
    <w:rsid w:val="00497B42"/>
    <w:rsid w:val="004B67F6"/>
    <w:rsid w:val="004B74D7"/>
    <w:rsid w:val="004C1425"/>
    <w:rsid w:val="00510D2E"/>
    <w:rsid w:val="006B0219"/>
    <w:rsid w:val="00706B83"/>
    <w:rsid w:val="008015E8"/>
    <w:rsid w:val="00802BCE"/>
    <w:rsid w:val="0089718F"/>
    <w:rsid w:val="008B7F7F"/>
    <w:rsid w:val="008E57E8"/>
    <w:rsid w:val="00986DFF"/>
    <w:rsid w:val="00997948"/>
    <w:rsid w:val="00AB649F"/>
    <w:rsid w:val="00AC7F94"/>
    <w:rsid w:val="00B17DFC"/>
    <w:rsid w:val="00B22C35"/>
    <w:rsid w:val="00B5698B"/>
    <w:rsid w:val="00B632C0"/>
    <w:rsid w:val="00B639F6"/>
    <w:rsid w:val="00BA7100"/>
    <w:rsid w:val="00BC4E31"/>
    <w:rsid w:val="00C8719A"/>
    <w:rsid w:val="00CB1829"/>
    <w:rsid w:val="00D0129B"/>
    <w:rsid w:val="00D96D69"/>
    <w:rsid w:val="00E71CC7"/>
    <w:rsid w:val="00E951B2"/>
    <w:rsid w:val="00EA6EA7"/>
    <w:rsid w:val="00EB508F"/>
    <w:rsid w:val="00F35E7A"/>
    <w:rsid w:val="00F979F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qFormat/>
    <w:rsid w:val="00EA6EA7"/>
    <w:pPr>
      <w:keepNext/>
      <w:spacing w:before="240" w:after="60"/>
      <w:outlineLvl w:val="0"/>
    </w:pPr>
    <w:rPr>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EA6EA7"/>
    <w:pPr>
      <w:tabs>
        <w:tab w:val="center" w:pos="4680"/>
        <w:tab w:val="right" w:pos="9360"/>
      </w:tabs>
    </w:pPr>
  </w:style>
  <w:style w:type="character" w:customStyle="1" w:styleId="HeaderChar">
    <w:name w:val="Header Char"/>
    <w:link w:val="Header"/>
    <w:uiPriority w:val="99"/>
    <w:rsid w:val="00EA6EA7"/>
    <w:rPr>
      <w:sz w:val="24"/>
      <w:szCs w:val="24"/>
    </w:rPr>
  </w:style>
  <w:style w:type="paragraph" w:styleId="Footer">
    <w:name w:val="footer"/>
    <w:basedOn w:val="Normal"/>
    <w:link w:val="FooterChar"/>
    <w:uiPriority w:val="99"/>
    <w:unhideWhenUsed/>
    <w:rsid w:val="00EA6EA7"/>
    <w:pPr>
      <w:tabs>
        <w:tab w:val="center" w:pos="4680"/>
        <w:tab w:val="right" w:pos="9360"/>
      </w:tabs>
    </w:pPr>
  </w:style>
  <w:style w:type="character" w:customStyle="1" w:styleId="FooterChar">
    <w:name w:val="Footer Char"/>
    <w:link w:val="Footer"/>
    <w:uiPriority w:val="99"/>
    <w:rsid w:val="00EA6EA7"/>
    <w:rPr>
      <w:sz w:val="24"/>
      <w:szCs w:val="24"/>
    </w:rPr>
  </w:style>
  <w:style w:type="paragraph" w:styleId="BodyTextIndent3">
    <w:name w:val="Body Text Indent 3"/>
    <w:basedOn w:val="Normal"/>
    <w:link w:val="BodyTextIndent3Char"/>
    <w:uiPriority w:val="99"/>
    <w:semiHidden/>
    <w:unhideWhenUsed/>
    <w:rsid w:val="00EA6EA7"/>
    <w:pPr>
      <w:spacing w:after="120"/>
      <w:ind w:left="360"/>
    </w:pPr>
    <w:rPr>
      <w:sz w:val="16"/>
      <w:szCs w:val="16"/>
    </w:rPr>
  </w:style>
  <w:style w:type="character" w:customStyle="1" w:styleId="BodyTextIndent3Char">
    <w:name w:val="Body Text Indent 3 Char"/>
    <w:link w:val="BodyTextIndent3"/>
    <w:uiPriority w:val="99"/>
    <w:semiHidden/>
    <w:rsid w:val="00EA6EA7"/>
    <w:rPr>
      <w:sz w:val="16"/>
      <w:szCs w:val="16"/>
    </w:rPr>
  </w:style>
  <w:style w:type="character" w:customStyle="1" w:styleId="Heading1Char">
    <w:name w:val="Heading 1 Char"/>
    <w:link w:val="Heading1"/>
    <w:rsid w:val="00EA6EA7"/>
    <w:rPr>
      <w:b/>
      <w:bCs/>
      <w:kern w:val="32"/>
      <w:sz w:val="32"/>
      <w:szCs w:val="32"/>
    </w:rPr>
  </w:style>
  <w:style w:type="paragraph" w:styleId="FootnoteText">
    <w:name w:val="footnote text"/>
    <w:basedOn w:val="Normal"/>
    <w:link w:val="FootnoteTextChar"/>
    <w:uiPriority w:val="99"/>
    <w:rsid w:val="00EA6EA7"/>
    <w:rPr>
      <w:sz w:val="20"/>
      <w:szCs w:val="20"/>
    </w:rPr>
  </w:style>
  <w:style w:type="character" w:customStyle="1" w:styleId="FootnoteTextChar">
    <w:name w:val="Footnote Text Char"/>
    <w:basedOn w:val="DefaultParagraphFont"/>
    <w:link w:val="FootnoteText"/>
    <w:uiPriority w:val="99"/>
    <w:rsid w:val="00EA6EA7"/>
  </w:style>
  <w:style w:type="character" w:styleId="FootnoteReference">
    <w:name w:val="footnote reference"/>
    <w:rsid w:val="00EA6EA7"/>
    <w:rPr>
      <w:vertAlign w:val="superscript"/>
    </w:rPr>
  </w:style>
  <w:style w:type="paragraph" w:styleId="BodyText">
    <w:name w:val="Body Text"/>
    <w:basedOn w:val="Normal"/>
    <w:link w:val="BodyTextChar"/>
    <w:uiPriority w:val="99"/>
    <w:unhideWhenUsed/>
    <w:rsid w:val="00C8719A"/>
    <w:pPr>
      <w:spacing w:after="120"/>
    </w:pPr>
  </w:style>
  <w:style w:type="character" w:customStyle="1" w:styleId="BodyTextChar">
    <w:name w:val="Body Text Char"/>
    <w:link w:val="BodyText"/>
    <w:uiPriority w:val="99"/>
    <w:rsid w:val="00C8719A"/>
    <w:rPr>
      <w:sz w:val="24"/>
      <w:szCs w:val="24"/>
    </w:rPr>
  </w:style>
  <w:style w:type="numbering" w:customStyle="1" w:styleId="NoList1">
    <w:name w:val="No List1"/>
    <w:next w:val="NoList"/>
    <w:uiPriority w:val="99"/>
    <w:semiHidden/>
    <w:unhideWhenUsed/>
    <w:rsid w:val="000653B7"/>
  </w:style>
  <w:style w:type="paragraph" w:styleId="NormalWeb">
    <w:name w:val="Normal (Web)"/>
    <w:basedOn w:val="Normal"/>
    <w:uiPriority w:val="99"/>
    <w:semiHidden/>
    <w:unhideWhenUsed/>
    <w:rsid w:val="000653B7"/>
    <w:pPr>
      <w:spacing w:before="100" w:beforeAutospacing="1" w:after="100" w:afterAutospacing="1"/>
    </w:pPr>
  </w:style>
  <w:style w:type="character" w:styleId="Hyperlink">
    <w:name w:val="Hyperlink"/>
    <w:uiPriority w:val="99"/>
    <w:semiHidden/>
    <w:unhideWhenUsed/>
    <w:rsid w:val="000653B7"/>
    <w:rPr>
      <w:color w:val="0000FF"/>
      <w:u w:val="single"/>
    </w:rPr>
  </w:style>
  <w:style w:type="character" w:styleId="FollowedHyperlink">
    <w:name w:val="FollowedHyperlink"/>
    <w:uiPriority w:val="99"/>
    <w:semiHidden/>
    <w:unhideWhenUsed/>
    <w:rsid w:val="000653B7"/>
    <w:rPr>
      <w:color w:val="800080"/>
      <w:u w:val="single"/>
    </w:rPr>
  </w:style>
  <w:style w:type="paragraph" w:styleId="BalloonText">
    <w:name w:val="Balloon Text"/>
    <w:basedOn w:val="Normal"/>
    <w:link w:val="BalloonTextChar"/>
    <w:uiPriority w:val="99"/>
    <w:semiHidden/>
    <w:unhideWhenUsed/>
    <w:rsid w:val="00B22C35"/>
    <w:rPr>
      <w:rFonts w:ascii="Segoe UI" w:hAnsi="Segoe UI" w:cs="Segoe UI"/>
      <w:sz w:val="18"/>
      <w:szCs w:val="18"/>
    </w:rPr>
  </w:style>
  <w:style w:type="character" w:customStyle="1" w:styleId="BalloonTextChar">
    <w:name w:val="Balloon Text Char"/>
    <w:link w:val="BalloonText"/>
    <w:uiPriority w:val="99"/>
    <w:semiHidden/>
    <w:rsid w:val="00B22C3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5646420-E4F5-49BD-B0F3-F8FBA1AF18A9}">
  <ds:schemaRefs>
    <ds:schemaRef ds:uri="http://schemas.openxmlformats.org/officeDocument/2006/bibliography"/>
  </ds:schemaRefs>
</ds:datastoreItem>
</file>

<file path=customXml/itemProps2.xml><?xml version="1.0" encoding="utf-8"?>
<ds:datastoreItem xmlns:ds="http://schemas.openxmlformats.org/officeDocument/2006/customXml" ds:itemID="{90A8194F-5D65-462F-92DC-BB378B9A6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8245EB-883F-4298-B4D2-3CDC6B21E3A1}">
  <ds:schemaRefs>
    <ds:schemaRef ds:uri="http://schemas.microsoft.com/sharepoint/v3/contenttype/forms"/>
  </ds:schemaRefs>
</ds:datastoreItem>
</file>

<file path=customXml/itemProps4.xml><?xml version="1.0" encoding="utf-8"?>
<ds:datastoreItem xmlns:ds="http://schemas.openxmlformats.org/officeDocument/2006/customXml" ds:itemID="{9650E893-FD36-4990-9DF5-3A134C58173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ha.trinhviet</cp:lastModifiedBy>
  <cp:revision>3</cp:revision>
  <cp:lastPrinted>2018-10-26T10:10:00Z</cp:lastPrinted>
  <dcterms:created xsi:type="dcterms:W3CDTF">2018-12-13T08:09:00Z</dcterms:created>
  <dcterms:modified xsi:type="dcterms:W3CDTF">2018-12-13T08:10:00Z</dcterms:modified>
</cp:coreProperties>
</file>