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E0E6E" w:rsidRPr="008E0E6E" w:rsidTr="008E0E6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BỘ NÔNG NGHIỆP VÀ PHÁT TRIỂN NÔNG THÔN</w:t>
            </w: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 </w:t>
            </w: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8E0E6E" w:rsidRPr="008E0E6E" w:rsidTr="008E0E6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17/2017/TT-BNNPTNT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11 tháng 9 năm 2017</w:t>
            </w:r>
          </w:p>
        </w:tc>
      </w:tr>
    </w:tbl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24"/>
          <w:szCs w:val="24"/>
        </w:rPr>
        <w:t>THÔNG TƯ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SỬA ĐỔI, BỔ SUNG THÔNG TƯ SỐ </w:t>
      </w:r>
      <w:hyperlink r:id="rId5" w:tgtFrame="_blank" w:history="1">
        <w:r w:rsidRPr="008E0E6E">
          <w:rPr>
            <w:rFonts w:ascii="Arial" w:eastAsia="Times New Roman" w:hAnsi="Arial" w:cs="Arial"/>
            <w:color w:val="0E70C3"/>
            <w:sz w:val="18"/>
            <w:szCs w:val="18"/>
          </w:rPr>
          <w:t>21/2016/TT-BNNPTNT</w:t>
        </w:r>
      </w:hyperlink>
      <w:r w:rsidRPr="008E0E6E">
        <w:rPr>
          <w:rFonts w:ascii="Arial" w:eastAsia="Times New Roman" w:hAnsi="Arial" w:cs="Arial"/>
          <w:color w:val="000000"/>
          <w:sz w:val="18"/>
          <w:szCs w:val="18"/>
        </w:rPr>
        <w:t> NGÀY 28/6/2016 CỦA BỘ TRƯỞNG BỘ NÔNG NGHIỆP VÀ PHÁT TRIỂN NÔNG THÔN QUY ĐỊNH VỀ KHAI THÁC CHÍNH VÀ TẬN DỤNG, TẬN THU LÂM SẢN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Bảo vệ và phát triển rừng năm 2004;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Nghị định số </w:t>
      </w:r>
      <w:hyperlink r:id="rId6" w:tgtFrame="_blank" w:history="1">
        <w:r w:rsidRPr="008E0E6E">
          <w:rPr>
            <w:rFonts w:ascii="Arial" w:eastAsia="Times New Roman" w:hAnsi="Arial" w:cs="Arial"/>
            <w:i/>
            <w:iCs/>
            <w:color w:val="0E70C3"/>
            <w:sz w:val="18"/>
            <w:szCs w:val="18"/>
          </w:rPr>
          <w:t>15/2017/NĐ-CP</w:t>
        </w:r>
      </w:hyperlink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ngày 17/02/2017 của Chính phủ Quy định chức năng, nhiệm vụ, quyền hạn và cơ cấu tổ chức của Bộ Nông nghiệp và Phát triển nông thôn;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Nghị định số </w:t>
      </w:r>
      <w:hyperlink r:id="rId7" w:tgtFrame="_blank" w:history="1">
        <w:r w:rsidRPr="008E0E6E">
          <w:rPr>
            <w:rFonts w:ascii="Arial" w:eastAsia="Times New Roman" w:hAnsi="Arial" w:cs="Arial"/>
            <w:i/>
            <w:iCs/>
            <w:color w:val="0E70C3"/>
            <w:sz w:val="18"/>
            <w:szCs w:val="18"/>
          </w:rPr>
          <w:t>23/2006/NĐ-CP</w:t>
        </w:r>
      </w:hyperlink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ngày 03/03/2006 của Chính phủ về thi hành Luật Bảo vệ và phát triển rừng;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Nghị định số </w:t>
      </w:r>
      <w:hyperlink r:id="rId8" w:tgtFrame="_blank" w:history="1">
        <w:r w:rsidRPr="008E0E6E">
          <w:rPr>
            <w:rFonts w:ascii="Arial" w:eastAsia="Times New Roman" w:hAnsi="Arial" w:cs="Arial"/>
            <w:i/>
            <w:iCs/>
            <w:color w:val="0E70C3"/>
            <w:sz w:val="18"/>
            <w:szCs w:val="18"/>
          </w:rPr>
          <w:t>117/2010/NĐ-CP</w:t>
        </w:r>
      </w:hyperlink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ngày 24/12/2010 của Chính phủ về tổ chức quản lý hệ thống rừng đặc dụng.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 đề nghị của Tổng cục trưởng Tổng cục Lâm nghiệp,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 trưởng Bộ Nông nghiệp và Phát triển nông thôn ban hành Thông tư sửa đổi, bổ sung Thông tư số </w:t>
      </w:r>
      <w:hyperlink r:id="rId9" w:tgtFrame="_blank" w:history="1">
        <w:r w:rsidRPr="008E0E6E">
          <w:rPr>
            <w:rFonts w:ascii="Arial" w:eastAsia="Times New Roman" w:hAnsi="Arial" w:cs="Arial"/>
            <w:i/>
            <w:iCs/>
            <w:color w:val="0E70C3"/>
            <w:sz w:val="18"/>
            <w:szCs w:val="18"/>
          </w:rPr>
          <w:t>21/2016/TT-BNNPTNT</w:t>
        </w:r>
      </w:hyperlink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ngày 28/6/2016 của Bộ trưởng Bộ Nông nghiệp và Phát triển nông thôn Quy định về khai thác chính và tận dụng, tận thu lâm sản như sau: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  <w:lang w:val="da-DK"/>
        </w:rPr>
        <w:t>Điều 1. Sửa đổi, bổ sung một số quy định của Thông tư số 21/2016/TT-BNNPTNT</w:t>
      </w: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t> ngày 28/6/2016 của Bộ trưởng Bộ Nông nghiệp và Phát triển nông thôn Quy định về khai thác chính và tận dụng, tận thu lâm sản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0" w:name="dc_1"/>
      <w:r w:rsidRPr="008E0E6E">
        <w:rPr>
          <w:rFonts w:ascii="Arial" w:eastAsia="Times New Roman" w:hAnsi="Arial" w:cs="Arial"/>
          <w:color w:val="000000"/>
          <w:sz w:val="18"/>
          <w:szCs w:val="18"/>
        </w:rPr>
        <w:t>Điều 6</w:t>
      </w:r>
      <w:bookmarkEnd w:id="0"/>
      <w:r w:rsidRPr="008E0E6E">
        <w:rPr>
          <w:rFonts w:ascii="Arial" w:eastAsia="Times New Roman" w:hAnsi="Arial" w:cs="Arial"/>
          <w:color w:val="000000"/>
          <w:sz w:val="18"/>
          <w:szCs w:val="18"/>
        </w:rPr>
        <w:t> được sửa đổi, bổ sung như sau: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a) Sửa đổi tiêu đề của </w:t>
      </w:r>
      <w:bookmarkStart w:id="1" w:name="dc_2"/>
      <w:r w:rsidRPr="008E0E6E">
        <w:rPr>
          <w:rFonts w:ascii="Arial" w:eastAsia="Times New Roman" w:hAnsi="Arial" w:cs="Arial"/>
          <w:color w:val="000000"/>
          <w:sz w:val="18"/>
          <w:szCs w:val="18"/>
        </w:rPr>
        <w:t>Điều 6</w:t>
      </w:r>
      <w:bookmarkEnd w:id="1"/>
      <w:r w:rsidRPr="008E0E6E">
        <w:rPr>
          <w:rFonts w:ascii="Arial" w:eastAsia="Times New Roman" w:hAnsi="Arial" w:cs="Arial"/>
          <w:color w:val="000000"/>
          <w:sz w:val="18"/>
          <w:szCs w:val="18"/>
        </w:rPr>
        <w:t> như sau: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“</w:t>
      </w: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  <w:lang w:val="da-DK"/>
        </w:rPr>
        <w:t>Điều 6. Khai thác chính, tận dụng, tận thu gỗ rừng trồng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”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b) </w:t>
      </w:r>
      <w:bookmarkStart w:id="2" w:name="dc_3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Điểm b Khoản 1 Điều 6</w:t>
      </w:r>
      <w:bookmarkEnd w:id="2"/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 được sửa đổi, bổ sung như sau: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“Trước khi khai thác, tận dụng, tận thu gỗ, chủ rừng lập bảng kê lâm sản khai thác gửi đến cấp thẩm quyền, cụ thể: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Chủ rừng là tổ chức, gửi đến Hạt Kiểm lâm sở tại hoặc Chi cục Kiểm lâm (nơi không có Hạt kiểm lâm).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Chủ rừng là hộ gia đình, cá nhân, cộng đồng dân cư gửi đến Ủy ban nhân dân cấp xã”.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c) Bổ sung Khoản 3 </w:t>
      </w:r>
      <w:bookmarkStart w:id="3" w:name="dc_4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Điều 6</w:t>
      </w:r>
      <w:bookmarkEnd w:id="3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 như sau: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“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3. Khai thác, tận thu gỗ rừng trồng là rừng nghiên cứu, thực nghiệm khoa học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a) Được khai thác, tận thu gỗ 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theo quy định tại </w:t>
      </w:r>
      <w:bookmarkStart w:id="4" w:name="dc_5"/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Điểm a, b Khoản 3, Điều 21 Nghị định số 117/2010/NĐ-CP</w:t>
      </w:r>
      <w:bookmarkEnd w:id="4"/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 ngày 24/12/2010 của Chính phủ về tổ chức quản lý hệ thống rừng đặc dụng.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b) Thời điểm khai thác, tận thu gỗ: sau khi các công trình, đề tài nghiên cứu, thực nghiệm khoa học đã kết thúc, được cơ quan có thẩm quyền nghiệm thu, đánh giá; nếu khai thác trắng phải trồng lại rừng mới ngay vụ trồng rừng kế tiếp.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c) Trước khi khai thác, tận thu gỗ chủ rừng lập bảng kê lâm sản khai thác gửi đến cấp thẩm quyền, cụ thể: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Đối với đơn vị trực thuộc Trung ương,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 gửi đến 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Tổng cục Lâm nghiệp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;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Đối với đơn vị trực thuộc tỉnh,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 gửi đến 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Sở Nông nghiệp và Phát triển nông thôn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sv-SE"/>
        </w:rPr>
        <w:t>d) Chủ rừng tự tổ chức khai thác, tận thu theo quy định; đo đếm tính toán khối lượng gỗ khai thác, tận thu”.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2. </w:t>
      </w:r>
      <w:bookmarkStart w:id="5" w:name="dc_6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Điểm b Điều 7</w:t>
      </w:r>
      <w:bookmarkEnd w:id="5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 được sửa đổi, bổ sung như sau: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nl-NL"/>
        </w:rPr>
        <w:t>“b) Trường hợp cần xác nhận nguồn gốc gỗ: Trước khi khai thác, tận dụng, tận thu gỗ chủ rừng lập bảng kê lâm sản khai thác gửi đến Ủy ban nhân dân cấp xã.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sv-SE"/>
        </w:rPr>
        <w:t>3. </w:t>
      </w:r>
      <w:bookmarkStart w:id="6" w:name="dc_7"/>
      <w:r w:rsidRPr="008E0E6E">
        <w:rPr>
          <w:rFonts w:ascii="Arial" w:eastAsia="Times New Roman" w:hAnsi="Arial" w:cs="Arial"/>
          <w:color w:val="000000"/>
          <w:sz w:val="18"/>
          <w:szCs w:val="18"/>
          <w:lang w:val="sv-SE"/>
        </w:rPr>
        <w:t>Khoản 4 Điều 20</w:t>
      </w:r>
      <w:bookmarkEnd w:id="6"/>
      <w:r w:rsidRPr="008E0E6E">
        <w:rPr>
          <w:rFonts w:ascii="Arial" w:eastAsia="Times New Roman" w:hAnsi="Arial" w:cs="Arial"/>
          <w:color w:val="000000"/>
          <w:sz w:val="18"/>
          <w:szCs w:val="18"/>
          <w:lang w:val="sv-SE"/>
        </w:rPr>
        <w:t> được sửa đổi, bổ sung như sau: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“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4. Ban hành kèm theo Thông tư này: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a) Phụ lục 1: Mẫu hồ sơ thiết kế khai thác, tận dụng, tận thu lâm sản áp dụng đối với: </w:t>
      </w:r>
      <w:bookmarkStart w:id="7" w:name="dc_9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Điểm a, b Khoản 3 Điều 4; Điểm b, c Khoản 2 Điều 6</w:t>
      </w:r>
      <w:bookmarkEnd w:id="7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.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lastRenderedPageBreak/>
        <w:t>b) Phụ lục 2: Bảng kê lâm sản khai thác áp dụng đối với </w:t>
      </w:r>
      <w:bookmarkStart w:id="8" w:name="dc_10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Điểm a Khoản 2 Điều 5; Điểm b Khoản 1 và Điểm c Khoản 3 Điều 6; Điểm b Điều 7</w:t>
      </w:r>
      <w:bookmarkEnd w:id="8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; </w:t>
      </w:r>
      <w:bookmarkStart w:id="9" w:name="dc_15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Khoản 3 Điều 8; Khoản 2, 3 Điều 9; Điểm a, b Khoản 2 Điều 10; Khoản 1, Điểm b, c Khoản 2 và Điểm b, c Khoản 3 Điều 11</w:t>
      </w:r>
      <w:bookmarkEnd w:id="9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.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c) Phụ lục 3: Giấy đề nghị cấp phép khai thác áp dụng đối với: </w:t>
      </w:r>
      <w:bookmarkStart w:id="10" w:name="dc_12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Điểm b Khoản 3 Điều 4; Điểm c Khoản 2 Điều 6; Điểm b Khoản 2 Điều 10; Điểm c Khoản 2 và Điểm c Khoản 3 Điều 11</w:t>
      </w:r>
      <w:bookmarkEnd w:id="10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.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d) Phụ lục 4: Mẫu báo cáo khai thác gỗ và lâm sản ngoài gỗ áp dụng đối với </w:t>
      </w:r>
      <w:bookmarkStart w:id="11" w:name="dc_14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Điều 19</w:t>
      </w:r>
      <w:bookmarkEnd w:id="11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.</w:t>
      </w:r>
    </w:p>
    <w:p w:rsidR="008E0E6E" w:rsidRPr="008E0E6E" w:rsidRDefault="008E0E6E" w:rsidP="008E0E6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4. Bảng kê lâm sản quy định tại </w:t>
      </w:r>
      <w:bookmarkStart w:id="12" w:name="dc_8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Điểm b Khoản 4 Điều 4; Điểm c Khoản 1 và Điểm đ Khoản 2 Điều 6; Khoản 3 Điều 8; Khoản 3 Điều 10; Khoản 4 Điều 11</w:t>
      </w:r>
      <w:bookmarkEnd w:id="12"/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 được thực hiện theo Mẫu số 01 ban hành kèm theo Thông tư số </w:t>
      </w:r>
      <w:hyperlink r:id="rId10" w:tgtFrame="_blank" w:history="1">
        <w:r w:rsidRPr="008E0E6E">
          <w:rPr>
            <w:rFonts w:ascii="Arial" w:eastAsia="Times New Roman" w:hAnsi="Arial" w:cs="Arial"/>
            <w:color w:val="0E70C3"/>
            <w:sz w:val="18"/>
            <w:szCs w:val="18"/>
            <w:lang w:val="da-DK"/>
          </w:rPr>
          <w:t>01/2012/TT-BNN</w:t>
        </w:r>
      </w:hyperlink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 ngày 4/01/2012 của Bộ trưởng Bộ Nông nghiệp và Phát triển nông thôn </w:t>
      </w:r>
      <w:r w:rsidRPr="008E0E6E">
        <w:rPr>
          <w:rFonts w:ascii="Arial" w:eastAsia="Times New Roman" w:hAnsi="Arial" w:cs="Arial"/>
          <w:color w:val="000000"/>
          <w:sz w:val="18"/>
          <w:szCs w:val="18"/>
        </w:rPr>
        <w:t>Quy định hồ sơ lâm sản hợp pháp và kiểm tra nguồn gốc lâm sản.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5. Sửa đổi, bổ sung Phụ lục 2 ban hành kèm theo </w:t>
      </w: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Thông tư số 21/2016/TT-BNNPTNT</w:t>
      </w:r>
      <w:r w:rsidRPr="008E0E6E">
        <w:rPr>
          <w:rFonts w:ascii="Arial" w:eastAsia="Times New Roman" w:hAnsi="Arial" w:cs="Arial"/>
          <w:color w:val="000000"/>
          <w:sz w:val="18"/>
          <w:szCs w:val="18"/>
        </w:rPr>
        <w:t> ngày 28/6/2016 của Bộ trưởng Bộ Nông nghiệp và Phát triển nông thôn Quy định về khai thác chính và tận dụng, tận thu lâm sản </w:t>
      </w: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(Phụ lục 2 kèm theo)</w:t>
      </w:r>
      <w:r w:rsidRPr="008E0E6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  <w:lang w:val="da-DK"/>
        </w:rPr>
        <w:t>Điều 2. Điều khoản thi hành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1. Thông tư này có hiệu lực từ ngày 25 tháng 10 năm 2017.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2. Trong quá trình thực hiện, nếu có vướng mắc phản ánh kịp thời về Bộ Nông nghiệp và Phát triển nông thôn để hướng dẫn, giải quyết./.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  <w:lang w:val="da-DK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503"/>
      </w:tblGrid>
      <w:tr w:rsidR="008E0E6E" w:rsidRPr="008E0E6E" w:rsidTr="008E0E6E">
        <w:trPr>
          <w:tblCellSpacing w:w="0" w:type="dxa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vi-VN"/>
              </w:rPr>
              <w:t>Nơi nhận:</w:t>
            </w:r>
            <w:r w:rsidRPr="008E0E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da-DK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da-DK"/>
              </w:rPr>
              <w:t>- Thủ tướng, các Phó Thủ tướng CP (để báo cáo)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da-DK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- Văn phòng Quốc hội;</w:t>
            </w:r>
            <w:r w:rsidRPr="008E0E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da-DK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- Văn phòng Chính phủ;</w:t>
            </w:r>
            <w:r w:rsidRPr="008E0E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vi-VN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- Bộ trưởng Bộ NN&amp;PTNT;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Các Bộ, cơ quan ngang Bộ, cơ quan thuộc CP;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Viện KSND Tối cao, Tòa án ND Tối cao;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Cơ quan Trung ương của các đoàn thể;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Lãnh đạo Bộ NN&amp;PTNT;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HĐND, UBND các tỉnh, TP trực thuộc TƯ;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Sở NN&amp;PTNT các tỉnh, TP trực thuộc TƯ;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Cục Kiểm tra văn bản-Bộ Tư pháp;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Công báo Chính phủ;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Cổng thông tin điện tử: Chính phủ, Bộ NN&amp;PTNT;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Các đơn vị thuộc Bộ NN&amp;PTNT;</w:t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Lưu: VT, TCLN.</w:t>
            </w:r>
          </w:p>
        </w:tc>
        <w:tc>
          <w:tcPr>
            <w:tcW w:w="4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a-DK"/>
              </w:rPr>
              <w:t>KT. BỘ TRƯỞNG</w:t>
            </w: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a-DK"/>
              </w:rPr>
              <w:br/>
              <w:t>THỨ TRƯỞNG</w:t>
            </w: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a-DK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  <w:lang w:val="da-DK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  <w:lang w:val="da-DK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  <w:lang w:val="da-DK"/>
              </w:rPr>
              <w:br/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  <w:lang w:val="da-DK"/>
              </w:rPr>
              <w:br/>
            </w: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a-DK"/>
              </w:rPr>
              <w:t>Hà Công Tuấn</w:t>
            </w:r>
          </w:p>
        </w:tc>
      </w:tr>
    </w:tbl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 lục 2: Mẫu bảng kê lâm sản khai thác </w:t>
      </w: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(Kèm theo </w:t>
      </w: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  <w:lang w:val="da-DK"/>
        </w:rPr>
        <w:t>Thông tư số 21/2016/TT-BNNPTNT</w:t>
      </w:r>
      <w:r w:rsidRPr="008E0E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ngày 28/6/2016 của Bộ trưởng Bộ Nông nghiệp và Phát triển nông thôn) </w:t>
      </w:r>
      <w:r w:rsidRPr="008E0E6E">
        <w:rPr>
          <w:rFonts w:ascii="Arial" w:eastAsia="Times New Roman" w:hAnsi="Arial" w:cs="Arial"/>
          <w:color w:val="000000"/>
          <w:sz w:val="18"/>
          <w:szCs w:val="18"/>
        </w:rPr>
        <w:t>được sửa đổi, bổ sung như sau: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t>“CỘNG HÒA XÃ HỘI CHỦ NGHĨA VIỆT NAM</w:t>
      </w: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Độc lập - Tự do – Hạnh phúc</w:t>
      </w: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----------------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KÊ LÂM SẢN KHAI THÁC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Thông tin chung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- Tên chủ rừng, hoặc đơn vị khai thác .………………………………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- Diện tích khai thác: ………………..ha;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- Thời gian khai thác: Từ ……….đến………….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t>2. Nội dung</w:t>
      </w:r>
    </w:p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lastRenderedPageBreak/>
        <w:t>a) Đối với gỗ rừng tự nhiên: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709"/>
        <w:gridCol w:w="819"/>
        <w:gridCol w:w="1732"/>
        <w:gridCol w:w="992"/>
        <w:gridCol w:w="1560"/>
      </w:tblGrid>
      <w:tr w:rsidR="008E0E6E" w:rsidRPr="008E0E6E" w:rsidTr="008E0E6E">
        <w:trPr>
          <w:tblCellSpacing w:w="0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Địa danh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Loài cây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Đường kính (cm)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Chiều cao (m)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Khối lượng (m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E0E6E" w:rsidRPr="008E0E6E" w:rsidTr="008E0E6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E6E" w:rsidRPr="008E0E6E" w:rsidRDefault="008E0E6E" w:rsidP="008E0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Tiểu khu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khoảnh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E6E" w:rsidRPr="008E0E6E" w:rsidRDefault="008E0E6E" w:rsidP="008E0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E6E" w:rsidRPr="008E0E6E" w:rsidRDefault="008E0E6E" w:rsidP="008E0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E6E" w:rsidRPr="008E0E6E" w:rsidRDefault="008E0E6E" w:rsidP="008E0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E6E" w:rsidRPr="008E0E6E" w:rsidRDefault="008E0E6E" w:rsidP="008E0E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E0E6E" w:rsidRPr="008E0E6E" w:rsidTr="008E0E6E">
        <w:trPr>
          <w:tblCellSpacing w:w="0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TK: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K: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giổi</w:t>
            </w:r>
          </w:p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8E0E6E" w:rsidRPr="008E0E6E" w:rsidTr="008E0E6E">
        <w:trPr>
          <w:tblCellSpacing w:w="0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b) Đối với gỗ rừng trồng: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1559"/>
        <w:gridCol w:w="992"/>
        <w:gridCol w:w="1560"/>
      </w:tblGrid>
      <w:tr w:rsidR="008E0E6E" w:rsidRPr="008E0E6E" w:rsidTr="008E0E6E">
        <w:trPr>
          <w:tblCellSpacing w:w="0" w:type="dxa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Địa danh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Loài cây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 đường kính (cm)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 cây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Khối lượng (m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E0E6E" w:rsidRPr="008E0E6E" w:rsidTr="008E0E6E">
        <w:trPr>
          <w:tblCellSpacing w:w="0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 rõ số lô, khoảnh, tiểu khu </w:t>
            </w:r>
            <w:r w:rsidRPr="008E0E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(hoặc Giấy chứng nhận quyền sử dụng đất, quyết định giao đất, cho thuê đất…vv)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Keo</w:t>
            </w:r>
          </w:p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&lt;15</w:t>
            </w:r>
          </w:p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 đến &lt;25</w:t>
            </w:r>
          </w:p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đến 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E0E6E" w:rsidRPr="008E0E6E" w:rsidTr="008E0E6E">
        <w:trPr>
          <w:tblCellSpacing w:w="0" w:type="dxa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color w:val="000000"/>
          <w:sz w:val="18"/>
          <w:szCs w:val="18"/>
        </w:rPr>
        <w:t>c) Đối với lâm sản khác ngoài gỗ: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249"/>
        <w:gridCol w:w="1843"/>
        <w:gridCol w:w="3119"/>
      </w:tblGrid>
      <w:tr w:rsidR="008E0E6E" w:rsidRPr="008E0E6E" w:rsidTr="008E0E6E">
        <w:trPr>
          <w:tblCellSpacing w:w="0" w:type="dxa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</w:t>
            </w: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Địa danh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Loài lâm sản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Khối lượng (m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cây, tấn)</w:t>
            </w:r>
          </w:p>
        </w:tc>
      </w:tr>
      <w:tr w:rsidR="008E0E6E" w:rsidRPr="008E0E6E" w:rsidTr="008E0E6E">
        <w:trPr>
          <w:tblCellSpacing w:w="0" w:type="dxa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 rõ số lô, khoảnh, tiểu khu </w:t>
            </w:r>
            <w:r w:rsidRPr="008E0E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(hoặc Giấy chứng nhận quyền sử dụng đất, quyết định giao đất, cho thuê đất…vv )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Song mây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cây</w:t>
            </w:r>
          </w:p>
        </w:tc>
      </w:tr>
      <w:tr w:rsidR="008E0E6E" w:rsidRPr="008E0E6E" w:rsidTr="008E0E6E">
        <w:trPr>
          <w:tblCellSpacing w:w="0" w:type="dxa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Tổng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8E0E6E" w:rsidRPr="008E0E6E" w:rsidRDefault="008E0E6E" w:rsidP="008E0E6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E0E6E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8E0E6E" w:rsidRPr="008E0E6E" w:rsidTr="008E0E6E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6E" w:rsidRPr="008E0E6E" w:rsidRDefault="008E0E6E" w:rsidP="008E0E6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0E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Chủ rừng /đơn vị khai thác</w:t>
            </w:r>
            <w:r w:rsidRPr="008E0E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”</w:t>
            </w:r>
          </w:p>
        </w:tc>
      </w:tr>
    </w:tbl>
    <w:p w:rsidR="009B4FC3" w:rsidRDefault="008E0E6E">
      <w:bookmarkStart w:id="13" w:name="_GoBack"/>
      <w:bookmarkEnd w:id="13"/>
    </w:p>
    <w:sectPr w:rsidR="009B4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6E"/>
    <w:rsid w:val="001B63B2"/>
    <w:rsid w:val="008E0E6E"/>
    <w:rsid w:val="00B4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0E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0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phap-luat/tim-van-ban.aspx?keyword=117/2010/N%C4%90-CP&amp;area=2&amp;type=0&amp;match=False&amp;vc=True&amp;lan=1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phap-luat/tim-van-ban.aspx?keyword=23/2006/N%C4%90-CP&amp;area=2&amp;type=0&amp;match=False&amp;vc=True&amp;lan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uvienphapluat.vn/phap-luat/tim-van-ban.aspx?keyword=15/2017/N%C4%90-CP&amp;area=2&amp;type=0&amp;match=False&amp;vc=True&amp;lan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huvienphapluat.vn/phap-luat/tim-van-ban.aspx?keyword=21/2016/TT-BNNPTNT&amp;area=2&amp;type=0&amp;match=False&amp;vc=True&amp;lan=1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thuvienphapluat.vn/phap-luat/tim-van-ban.aspx?keyword=01/2012/TT-BNN&amp;area=2&amp;type=0&amp;match=False&amp;vc=True&amp;lan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phap-luat/tim-van-ban.aspx?keyword=21/2016/TT-BNNPTNT&amp;area=2&amp;type=0&amp;match=False&amp;vc=True&amp;lan=1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2AF7A-2751-4D2A-929C-9A7DC9706227}"/>
</file>

<file path=customXml/itemProps2.xml><?xml version="1.0" encoding="utf-8"?>
<ds:datastoreItem xmlns:ds="http://schemas.openxmlformats.org/officeDocument/2006/customXml" ds:itemID="{501AC3F2-AD10-4917-8522-F292ECBFC92D}"/>
</file>

<file path=customXml/itemProps3.xml><?xml version="1.0" encoding="utf-8"?>
<ds:datastoreItem xmlns:ds="http://schemas.openxmlformats.org/officeDocument/2006/customXml" ds:itemID="{1132B676-7659-478A-B960-BD6420968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Phuong Minh</dc:creator>
  <cp:lastModifiedBy>Dinh Phuong Minh</cp:lastModifiedBy>
  <cp:revision>1</cp:revision>
  <dcterms:created xsi:type="dcterms:W3CDTF">2017-11-23T09:25:00Z</dcterms:created>
  <dcterms:modified xsi:type="dcterms:W3CDTF">2017-11-23T09:26:00Z</dcterms:modified>
</cp:coreProperties>
</file>