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000"/>
      </w:tblPr>
      <w:tblGrid>
        <w:gridCol w:w="3078"/>
        <w:gridCol w:w="6244"/>
      </w:tblGrid>
      <w:tr w:rsidR="00E90A5A" w:rsidRPr="00E90A5A" w:rsidTr="00F62823">
        <w:tc>
          <w:tcPr>
            <w:tcW w:w="3078" w:type="dxa"/>
          </w:tcPr>
          <w:p w:rsidR="00E90A5A" w:rsidRPr="00F62823" w:rsidRDefault="00E90A5A" w:rsidP="008D388E">
            <w:pPr>
              <w:jc w:val="center"/>
              <w:rPr>
                <w:rFonts w:ascii="Times New Roman" w:hAnsi="Times New Roman"/>
                <w:b/>
                <w:bCs/>
                <w:sz w:val="26"/>
                <w:szCs w:val="26"/>
              </w:rPr>
            </w:pPr>
            <w:r w:rsidRPr="00F62823">
              <w:rPr>
                <w:rFonts w:ascii="Times New Roman" w:hAnsi="Times New Roman"/>
                <w:b/>
                <w:bCs/>
                <w:sz w:val="26"/>
                <w:szCs w:val="26"/>
              </w:rPr>
              <w:t>BỘ TÀI CHÍNH</w:t>
            </w:r>
          </w:p>
          <w:p w:rsidR="00E90A5A" w:rsidRPr="00E90A5A" w:rsidRDefault="0045403D" w:rsidP="008D388E">
            <w:pPr>
              <w:jc w:val="center"/>
              <w:rPr>
                <w:rFonts w:ascii="Times New Roman" w:hAnsi="Times New Roman"/>
                <w:szCs w:val="28"/>
              </w:rPr>
            </w:pPr>
            <w:r w:rsidRPr="0045403D">
              <w:rPr>
                <w:rFonts w:ascii="Times New Roman" w:hAnsi="Times New Roman"/>
                <w:noProof/>
                <w:szCs w:val="28"/>
              </w:rPr>
              <w:pict>
                <v:line id="Line 2" o:spid="_x0000_s1026" style="position:absolute;left:0;text-align:left;z-index:251660288;visibility:visible;mso-wrap-distance-top:-1e-4mm;mso-wrap-distance-bottom:-1e-4mm" from="49pt,2.65pt" to="10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Wh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JzlT08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"/>
              </w:pict>
            </w:r>
          </w:p>
          <w:p w:rsidR="00F62823" w:rsidRDefault="00F62823" w:rsidP="008D388E">
            <w:pPr>
              <w:jc w:val="center"/>
              <w:rPr>
                <w:rFonts w:ascii="Times New Roman" w:hAnsi="Times New Roman"/>
                <w:szCs w:val="28"/>
              </w:rPr>
            </w:pPr>
          </w:p>
          <w:p w:rsidR="00E90A5A" w:rsidRPr="00E90A5A" w:rsidRDefault="00E90A5A" w:rsidP="000B3D8B">
            <w:pPr>
              <w:jc w:val="center"/>
              <w:rPr>
                <w:rFonts w:ascii="Times New Roman" w:hAnsi="Times New Roman"/>
                <w:szCs w:val="28"/>
              </w:rPr>
            </w:pPr>
            <w:r w:rsidRPr="00E90A5A">
              <w:rPr>
                <w:rFonts w:ascii="Times New Roman" w:hAnsi="Times New Roman"/>
                <w:szCs w:val="28"/>
              </w:rPr>
              <w:t xml:space="preserve">Số: </w:t>
            </w:r>
            <w:r w:rsidR="000B3D8B">
              <w:rPr>
                <w:rFonts w:ascii="Times New Roman" w:hAnsi="Times New Roman"/>
                <w:szCs w:val="28"/>
              </w:rPr>
              <w:t>23</w:t>
            </w:r>
            <w:r w:rsidRPr="00E90A5A">
              <w:rPr>
                <w:rFonts w:ascii="Times New Roman" w:hAnsi="Times New Roman"/>
                <w:szCs w:val="28"/>
              </w:rPr>
              <w:t>/2017/TT-BTC</w:t>
            </w:r>
          </w:p>
        </w:tc>
        <w:tc>
          <w:tcPr>
            <w:tcW w:w="6244" w:type="dxa"/>
          </w:tcPr>
          <w:p w:rsidR="00E90A5A" w:rsidRPr="00F62823" w:rsidRDefault="00E90A5A" w:rsidP="00F62823">
            <w:pPr>
              <w:jc w:val="center"/>
              <w:rPr>
                <w:rFonts w:ascii="Times New Roman" w:hAnsi="Times New Roman"/>
                <w:sz w:val="26"/>
                <w:szCs w:val="26"/>
              </w:rPr>
            </w:pPr>
            <w:r w:rsidRPr="00F62823">
              <w:rPr>
                <w:rFonts w:ascii="Times New Roman" w:hAnsi="Times New Roman"/>
                <w:b/>
                <w:bCs/>
                <w:sz w:val="26"/>
                <w:szCs w:val="26"/>
              </w:rPr>
              <w:t>CỘNG HOÀ XÃ HỘI CHỦ NGHĨA VIỆT NAM</w:t>
            </w:r>
          </w:p>
          <w:p w:rsidR="00E90A5A" w:rsidRPr="00F62823" w:rsidRDefault="00E90A5A" w:rsidP="00F62823">
            <w:pPr>
              <w:jc w:val="center"/>
              <w:rPr>
                <w:rFonts w:ascii="Times New Roman" w:hAnsi="Times New Roman"/>
                <w:b/>
                <w:bCs/>
                <w:szCs w:val="28"/>
              </w:rPr>
            </w:pPr>
            <w:r w:rsidRPr="00F62823">
              <w:rPr>
                <w:rFonts w:ascii="Times New Roman" w:hAnsi="Times New Roman"/>
                <w:b/>
                <w:bCs/>
                <w:szCs w:val="28"/>
              </w:rPr>
              <w:t>Độc lập - Tự do - Hạnh phúc</w:t>
            </w:r>
          </w:p>
          <w:p w:rsidR="00E90A5A" w:rsidRPr="00E90A5A" w:rsidRDefault="0045403D" w:rsidP="00F62823">
            <w:pPr>
              <w:jc w:val="center"/>
              <w:rPr>
                <w:rFonts w:ascii="Times New Roman" w:hAnsi="Times New Roman"/>
                <w:szCs w:val="28"/>
              </w:rPr>
            </w:pPr>
            <w:r w:rsidRPr="0045403D">
              <w:rPr>
                <w:rFonts w:ascii="Times New Roman" w:hAnsi="Times New Roman"/>
                <w:noProof/>
                <w:szCs w:val="28"/>
              </w:rPr>
              <w:pict>
                <v:line id="Line 3" o:spid="_x0000_s1027" style="position:absolute;left:0;text-align:left;z-index:251661312;visibility:visible;mso-wrap-distance-top:-1e-4mm;mso-wrap-distance-bottom:-1e-4mm" from="65.85pt,3.85pt" to="236.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N4EgIAACg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"/>
              </w:pict>
            </w:r>
          </w:p>
          <w:p w:rsidR="00E90A5A" w:rsidRPr="00E90A5A" w:rsidRDefault="00F62823" w:rsidP="000B3D8B">
            <w:pPr>
              <w:keepNext/>
              <w:ind w:left="-207"/>
              <w:jc w:val="center"/>
              <w:outlineLvl w:val="1"/>
              <w:rPr>
                <w:rFonts w:ascii="Times New Roman" w:hAnsi="Times New Roman"/>
                <w:bCs/>
                <w:i/>
                <w:szCs w:val="28"/>
              </w:rPr>
            </w:pPr>
            <w:r>
              <w:rPr>
                <w:rFonts w:ascii="Times New Roman" w:hAnsi="Times New Roman"/>
                <w:bCs/>
                <w:i/>
                <w:szCs w:val="28"/>
              </w:rPr>
              <w:t xml:space="preserve">    </w:t>
            </w:r>
            <w:r w:rsidR="000B3D8B">
              <w:rPr>
                <w:rFonts w:ascii="Times New Roman" w:hAnsi="Times New Roman"/>
                <w:bCs/>
                <w:i/>
                <w:szCs w:val="28"/>
              </w:rPr>
              <w:t>Hà Nội, ngày 16</w:t>
            </w:r>
            <w:r w:rsidR="00E90A5A" w:rsidRPr="00E90A5A">
              <w:rPr>
                <w:rFonts w:ascii="Times New Roman" w:hAnsi="Times New Roman"/>
                <w:bCs/>
                <w:i/>
                <w:szCs w:val="28"/>
              </w:rPr>
              <w:t xml:space="preserve"> tháng </w:t>
            </w:r>
            <w:r w:rsidR="000B3D8B">
              <w:rPr>
                <w:rFonts w:ascii="Times New Roman" w:hAnsi="Times New Roman"/>
                <w:bCs/>
                <w:i/>
                <w:szCs w:val="28"/>
              </w:rPr>
              <w:t>03</w:t>
            </w:r>
            <w:r w:rsidR="00E90A5A" w:rsidRPr="00E90A5A">
              <w:rPr>
                <w:rFonts w:ascii="Times New Roman" w:hAnsi="Times New Roman"/>
                <w:bCs/>
                <w:i/>
                <w:szCs w:val="28"/>
              </w:rPr>
              <w:t xml:space="preserve"> năm 2017</w:t>
            </w:r>
          </w:p>
        </w:tc>
      </w:tr>
    </w:tbl>
    <w:p w:rsidR="00E90A5A" w:rsidRDefault="00E90A5A" w:rsidP="00E90A5A">
      <w:pPr>
        <w:jc w:val="center"/>
        <w:rPr>
          <w:rFonts w:ascii="Times New Roman" w:hAnsi="Times New Roman"/>
          <w:szCs w:val="28"/>
        </w:rPr>
      </w:pPr>
    </w:p>
    <w:p w:rsidR="00F62823" w:rsidRPr="00E90A5A" w:rsidRDefault="00F62823" w:rsidP="00E90A5A">
      <w:pPr>
        <w:jc w:val="center"/>
        <w:rPr>
          <w:rFonts w:ascii="Times New Roman" w:hAnsi="Times New Roman"/>
          <w:szCs w:val="28"/>
        </w:rPr>
      </w:pPr>
    </w:p>
    <w:p w:rsidR="00E90A5A" w:rsidRPr="00E90A5A" w:rsidRDefault="00E90A5A" w:rsidP="00E90A5A">
      <w:pPr>
        <w:spacing w:before="120" w:after="120"/>
        <w:jc w:val="center"/>
        <w:rPr>
          <w:rFonts w:ascii="Times New Roman" w:hAnsi="Times New Roman"/>
          <w:b/>
          <w:bCs/>
          <w:szCs w:val="28"/>
        </w:rPr>
      </w:pPr>
      <w:r w:rsidRPr="00E90A5A">
        <w:rPr>
          <w:rFonts w:ascii="Times New Roman" w:hAnsi="Times New Roman"/>
          <w:b/>
          <w:bCs/>
          <w:szCs w:val="28"/>
        </w:rPr>
        <w:t>THÔNG TƯ</w:t>
      </w:r>
    </w:p>
    <w:p w:rsidR="00E90A5A" w:rsidRPr="00E90A5A" w:rsidRDefault="00E90A5A" w:rsidP="00E90A5A">
      <w:pPr>
        <w:pStyle w:val="BodyText"/>
        <w:spacing w:after="60"/>
        <w:ind w:left="720" w:right="207"/>
        <w:contextualSpacing/>
        <w:jc w:val="center"/>
        <w:rPr>
          <w:rFonts w:ascii="Times New Roman" w:hAnsi="Times New Roman"/>
          <w:b/>
          <w:bCs/>
          <w:szCs w:val="28"/>
        </w:rPr>
      </w:pPr>
      <w:r w:rsidRPr="00E90A5A">
        <w:rPr>
          <w:rFonts w:ascii="Times New Roman" w:hAnsi="Times New Roman"/>
          <w:b/>
          <w:bCs/>
          <w:szCs w:val="28"/>
        </w:rPr>
        <w:t>Sửa đổi, bổ sung một số điều của Thông tư số 11/2016/TT-BTC ngày 19 tháng 01 năm 2016 hướng dẫn một số điều của Nghị định số 42/2015/NĐ-CP ngày 05 tháng 5 năm 2015 của Chính phủ về chứng khoán phái sinh và thị trường chứng khoán phái sinh</w:t>
      </w:r>
    </w:p>
    <w:p w:rsidR="00E90A5A" w:rsidRPr="00E90A5A" w:rsidRDefault="0045403D" w:rsidP="00E90A5A">
      <w:pPr>
        <w:pStyle w:val="BodyText"/>
        <w:spacing w:after="60"/>
        <w:ind w:firstLine="539"/>
        <w:contextualSpacing/>
        <w:jc w:val="center"/>
        <w:rPr>
          <w:rFonts w:ascii="Times New Roman" w:hAnsi="Times New Roman"/>
          <w:b/>
          <w:bCs/>
          <w:szCs w:val="28"/>
        </w:rPr>
      </w:pPr>
      <w:r w:rsidRPr="0045403D">
        <w:rPr>
          <w:rFonts w:ascii="Times New Roman" w:hAnsi="Times New Roman"/>
          <w:b/>
          <w:bCs/>
          <w:noProof/>
          <w:snapToGrid/>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0;text-align:left;margin-left:160.4pt;margin-top:8pt;width:182.25pt;height:.05pt;z-index:2516633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" adj="10797"/>
        </w:pict>
      </w:r>
    </w:p>
    <w:p w:rsidR="00E90A5A" w:rsidRPr="00E90A5A" w:rsidRDefault="00E90A5A" w:rsidP="00E90A5A">
      <w:pPr>
        <w:pStyle w:val="BodyText"/>
        <w:ind w:firstLine="540"/>
        <w:rPr>
          <w:rFonts w:ascii="Times New Roman" w:hAnsi="Times New Roman"/>
          <w:i/>
          <w:iCs/>
          <w:szCs w:val="28"/>
        </w:rPr>
      </w:pPr>
    </w:p>
    <w:p w:rsidR="00E90A5A" w:rsidRPr="00E90A5A" w:rsidRDefault="00E90A5A" w:rsidP="00E90A5A">
      <w:pPr>
        <w:pStyle w:val="BodyText"/>
        <w:spacing w:before="160" w:after="160"/>
        <w:ind w:firstLine="720"/>
        <w:rPr>
          <w:rFonts w:ascii="Times New Roman" w:hAnsi="Times New Roman"/>
          <w:b/>
          <w:bCs/>
          <w:i/>
          <w:iCs/>
          <w:szCs w:val="28"/>
        </w:rPr>
      </w:pPr>
      <w:r w:rsidRPr="00E90A5A">
        <w:rPr>
          <w:rFonts w:ascii="Times New Roman" w:hAnsi="Times New Roman"/>
          <w:i/>
          <w:iCs/>
          <w:szCs w:val="28"/>
        </w:rPr>
        <w:t>Căn cứ Luật Chứng khoán ngày 29 tháng 6 năm 2006;</w:t>
      </w:r>
    </w:p>
    <w:p w:rsidR="00E90A5A" w:rsidRPr="00E90A5A" w:rsidRDefault="00E90A5A" w:rsidP="00E90A5A">
      <w:pPr>
        <w:pStyle w:val="BodyText"/>
        <w:spacing w:before="160" w:after="160"/>
        <w:ind w:firstLine="720"/>
        <w:rPr>
          <w:rFonts w:ascii="Times New Roman" w:hAnsi="Times New Roman"/>
          <w:i/>
          <w:iCs/>
          <w:szCs w:val="28"/>
        </w:rPr>
      </w:pPr>
      <w:r w:rsidRPr="00E90A5A">
        <w:rPr>
          <w:rFonts w:ascii="Times New Roman" w:hAnsi="Times New Roman"/>
          <w:i/>
          <w:iCs/>
          <w:szCs w:val="28"/>
        </w:rPr>
        <w:t>Căn cứ Luật sửa đổi,</w:t>
      </w:r>
      <w:r w:rsidR="00873761">
        <w:rPr>
          <w:rFonts w:ascii="Times New Roman" w:hAnsi="Times New Roman"/>
          <w:i/>
          <w:iCs/>
          <w:szCs w:val="28"/>
        </w:rPr>
        <w:t xml:space="preserve"> </w:t>
      </w:r>
      <w:r w:rsidRPr="00E90A5A">
        <w:rPr>
          <w:rFonts w:ascii="Times New Roman" w:hAnsi="Times New Roman"/>
          <w:i/>
          <w:iCs/>
          <w:szCs w:val="28"/>
        </w:rPr>
        <w:t>bổ sung một số điều của Luật Chứng khoán ngày 24 tháng 11 năm 2010;</w:t>
      </w:r>
    </w:p>
    <w:p w:rsidR="00E90A5A" w:rsidRPr="00E90A5A" w:rsidRDefault="00E90A5A" w:rsidP="00E90A5A">
      <w:pPr>
        <w:pStyle w:val="BodyText"/>
        <w:spacing w:before="160" w:after="160"/>
        <w:ind w:firstLine="720"/>
        <w:rPr>
          <w:rFonts w:ascii="Times New Roman" w:hAnsi="Times New Roman"/>
          <w:i/>
          <w:iCs/>
          <w:spacing w:val="2"/>
          <w:szCs w:val="28"/>
        </w:rPr>
      </w:pPr>
      <w:r w:rsidRPr="00E90A5A">
        <w:rPr>
          <w:rFonts w:ascii="Times New Roman" w:hAnsi="Times New Roman"/>
          <w:i/>
          <w:iCs/>
          <w:spacing w:val="2"/>
          <w:szCs w:val="28"/>
        </w:rPr>
        <w:t>Căn cứ Nghị định số 58/2012/NĐ-CP ngày 20 tháng 7 năm 2012 của Chính phủ quy định chi tiết và hướng dẫn thi hành một số điều của Luật Chứng khoán và Luật sửa đổi, bổ sung một số điều của Luật Chứng khoán;</w:t>
      </w:r>
    </w:p>
    <w:p w:rsidR="00E90A5A" w:rsidRPr="00E90A5A" w:rsidRDefault="00E90A5A" w:rsidP="00E90A5A">
      <w:pPr>
        <w:pStyle w:val="BodyText"/>
        <w:spacing w:before="160" w:after="160"/>
        <w:ind w:firstLine="720"/>
        <w:rPr>
          <w:rFonts w:ascii="Times New Roman" w:hAnsi="Times New Roman"/>
          <w:i/>
          <w:iCs/>
          <w:szCs w:val="28"/>
        </w:rPr>
      </w:pPr>
      <w:r w:rsidRPr="00E90A5A">
        <w:rPr>
          <w:rFonts w:ascii="Times New Roman" w:hAnsi="Times New Roman"/>
          <w:i/>
          <w:iCs/>
          <w:spacing w:val="2"/>
          <w:szCs w:val="28"/>
        </w:rPr>
        <w:t>Căn cứ Nghị định số 60/2015/NĐ-CP ngày 26 tháng 6 năm 2015 của Chính phủ sửa đổi, bổ sung một số điều của Nghị định số 58/2012/NĐ-CP ngày 20 tháng 7 năm 2012 của Chính phủ quy định chi tiết và hướng dẫn thi hành một số điều của Luật Chứng khoán và Luật sửa đổi, bổ sung một số điều của Luật Chứng khoán;</w:t>
      </w:r>
    </w:p>
    <w:p w:rsidR="00E90A5A" w:rsidRPr="00E90A5A" w:rsidRDefault="00E90A5A" w:rsidP="00E90A5A">
      <w:pPr>
        <w:pStyle w:val="BodyText"/>
        <w:spacing w:before="160" w:after="160"/>
        <w:ind w:firstLine="720"/>
        <w:rPr>
          <w:rFonts w:ascii="Times New Roman" w:hAnsi="Times New Roman"/>
          <w:i/>
          <w:iCs/>
          <w:szCs w:val="28"/>
        </w:rPr>
      </w:pPr>
      <w:r w:rsidRPr="00E90A5A">
        <w:rPr>
          <w:rFonts w:ascii="Times New Roman" w:hAnsi="Times New Roman"/>
          <w:i/>
          <w:iCs/>
          <w:spacing w:val="2"/>
          <w:szCs w:val="28"/>
        </w:rPr>
        <w:t>Căn cứ Nghị định số 42/2015/NĐ-CP ngày 05 tháng 5 năm 2015 của Chính phủ quy định về chứng khoán phái sinh và thị trường chứng khoán phái sinh;</w:t>
      </w:r>
    </w:p>
    <w:p w:rsidR="00E90A5A" w:rsidRPr="00E90A5A" w:rsidRDefault="00E90A5A" w:rsidP="00E90A5A">
      <w:pPr>
        <w:pStyle w:val="BodyText"/>
        <w:spacing w:before="160" w:after="160"/>
        <w:ind w:firstLine="720"/>
        <w:rPr>
          <w:rFonts w:ascii="Times New Roman" w:hAnsi="Times New Roman"/>
          <w:i/>
          <w:iCs/>
          <w:szCs w:val="28"/>
        </w:rPr>
      </w:pPr>
      <w:r w:rsidRPr="00E90A5A">
        <w:rPr>
          <w:rFonts w:ascii="Times New Roman" w:hAnsi="Times New Roman"/>
          <w:i/>
          <w:iCs/>
          <w:szCs w:val="28"/>
        </w:rPr>
        <w:t>Căn cứ Nghị định số 215/2013/NĐ-CP ngày 23 tháng 12 năm 2013 của Chính phủ quy định chức năng, nhiệm vụ, quyền hạn và cơ cấu tổ chức của Bộ Tài chính;</w:t>
      </w:r>
    </w:p>
    <w:p w:rsidR="00E90A5A" w:rsidRPr="00E90A5A" w:rsidRDefault="00E90A5A" w:rsidP="00E90A5A">
      <w:pPr>
        <w:pStyle w:val="BodyText"/>
        <w:spacing w:before="160" w:after="160"/>
        <w:ind w:firstLine="720"/>
        <w:rPr>
          <w:rFonts w:ascii="Times New Roman" w:hAnsi="Times New Roman"/>
          <w:i/>
          <w:iCs/>
          <w:szCs w:val="28"/>
        </w:rPr>
      </w:pPr>
      <w:r w:rsidRPr="00E90A5A">
        <w:rPr>
          <w:rFonts w:ascii="Times New Roman" w:hAnsi="Times New Roman"/>
          <w:i/>
          <w:iCs/>
          <w:szCs w:val="28"/>
        </w:rPr>
        <w:t xml:space="preserve">Theo đề nghị của Chủ tịch Ủy ban Chứng khoán Nhà nước; </w:t>
      </w:r>
    </w:p>
    <w:p w:rsidR="00E90A5A" w:rsidRPr="00E90A5A" w:rsidRDefault="00E90A5A" w:rsidP="00E90A5A">
      <w:pPr>
        <w:pStyle w:val="Heading1"/>
        <w:keepNext w:val="0"/>
        <w:widowControl w:val="0"/>
        <w:tabs>
          <w:tab w:val="left" w:pos="720"/>
        </w:tabs>
        <w:spacing w:before="160" w:after="160" w:line="240" w:lineRule="auto"/>
        <w:ind w:firstLine="720"/>
        <w:jc w:val="both"/>
        <w:rPr>
          <w:i/>
          <w:iCs/>
          <w:szCs w:val="28"/>
        </w:rPr>
      </w:pPr>
      <w:r w:rsidRPr="00E90A5A">
        <w:rPr>
          <w:b w:val="0"/>
          <w:i/>
          <w:iCs/>
          <w:szCs w:val="28"/>
        </w:rPr>
        <w:t xml:space="preserve">Bộ trưởng Bộ Tài chính ban hành Thông tư sửa đổi, bổ sung một số điều của Thông tư số 11/2016/TT-BTC ngày 19 tháng 01 năm 2016 hướng dẫn </w:t>
      </w:r>
      <w:r w:rsidRPr="00E90A5A">
        <w:rPr>
          <w:b w:val="0"/>
          <w:bCs/>
          <w:i/>
          <w:szCs w:val="28"/>
        </w:rPr>
        <w:t>một số điều của Nghị định số 42/2015/NĐ-CP ngày 05 tháng 5 năm 2015 của Chính phủ về chứng khoán phái sinh và thị trường chứng khoán phái sinh</w:t>
      </w:r>
      <w:r w:rsidRPr="00E90A5A">
        <w:rPr>
          <w:b w:val="0"/>
          <w:i/>
          <w:iCs/>
          <w:szCs w:val="28"/>
        </w:rPr>
        <w:t>.</w:t>
      </w:r>
      <w:r w:rsidRPr="00E90A5A">
        <w:rPr>
          <w:szCs w:val="28"/>
        </w:rPr>
        <w:br w:type="page"/>
      </w:r>
    </w:p>
    <w:p w:rsidR="00E90A5A" w:rsidRPr="006E7140"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b/>
          <w:i w:val="0"/>
          <w:szCs w:val="28"/>
          <w:lang w:val="nl-NL"/>
        </w:rPr>
        <w:lastRenderedPageBreak/>
        <w:t xml:space="preserve">Điều 1. </w:t>
      </w:r>
      <w:r w:rsidRPr="006E7140">
        <w:rPr>
          <w:rFonts w:ascii="Times New Roman" w:hAnsi="Times New Roman"/>
          <w:i w:val="0"/>
          <w:szCs w:val="28"/>
          <w:lang w:val="nl-NL"/>
        </w:rPr>
        <w:t>Sửa đổi, bổ sung một số điều của Thông tư số 11/2016/TT-BTC ngày 19 tháng 01 năm 2016 hướng dẫn một số điều của Nghị định số 42/2015/NĐ-CP ngày 05 tháng 5 năm 2015 của Chính phủ về chứng khoán phái sinh và thị trường chứng khoán phái sinh như sau:</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 xml:space="preserve">1. Bổ sung khoản 24 Điều 2 như sau: </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 xml:space="preserve">“24. Tài khoản giao dịch tổng là tài khoản giao dịch của nhà đầu tư mà các vị thế </w:t>
      </w:r>
      <w:r w:rsidRPr="00E90A5A">
        <w:rPr>
          <w:rFonts w:ascii="Times New Roman" w:hAnsi="Times New Roman"/>
          <w:i w:val="0"/>
          <w:szCs w:val="28"/>
          <w:lang w:val="vi-VN"/>
        </w:rPr>
        <w:t>mua và bán</w:t>
      </w:r>
      <w:r w:rsidRPr="00E90A5A">
        <w:rPr>
          <w:rFonts w:ascii="Times New Roman" w:hAnsi="Times New Roman"/>
          <w:i w:val="0"/>
          <w:szCs w:val="28"/>
          <w:lang w:val="nl-NL"/>
        </w:rPr>
        <w:t xml:space="preserve"> của </w:t>
      </w:r>
      <w:r w:rsidRPr="00E90A5A">
        <w:rPr>
          <w:rFonts w:ascii="Times New Roman" w:hAnsi="Times New Roman"/>
          <w:i w:val="0"/>
          <w:szCs w:val="28"/>
          <w:lang w:val="vi-VN"/>
        </w:rPr>
        <w:t xml:space="preserve">cùng </w:t>
      </w:r>
      <w:r w:rsidRPr="00E90A5A">
        <w:rPr>
          <w:rFonts w:ascii="Times New Roman" w:hAnsi="Times New Roman"/>
          <w:i w:val="0"/>
          <w:szCs w:val="28"/>
          <w:lang w:val="nl-NL"/>
        </w:rPr>
        <w:t xml:space="preserve">một hợp đồng tương lai </w:t>
      </w:r>
      <w:r w:rsidRPr="00E90A5A">
        <w:rPr>
          <w:rFonts w:ascii="Times New Roman" w:hAnsi="Times New Roman"/>
          <w:i w:val="0"/>
          <w:szCs w:val="28"/>
          <w:lang w:val="vi-VN"/>
        </w:rPr>
        <w:t xml:space="preserve">(có </w:t>
      </w:r>
      <w:r w:rsidRPr="00E90A5A">
        <w:rPr>
          <w:rFonts w:ascii="Times New Roman" w:hAnsi="Times New Roman"/>
          <w:i w:val="0"/>
          <w:szCs w:val="28"/>
          <w:lang w:val="nl-NL"/>
        </w:rPr>
        <w:t xml:space="preserve">cùng </w:t>
      </w:r>
      <w:r w:rsidRPr="00E90A5A">
        <w:rPr>
          <w:rFonts w:ascii="Times New Roman" w:hAnsi="Times New Roman"/>
          <w:i w:val="0"/>
          <w:szCs w:val="28"/>
          <w:lang w:val="vi-VN"/>
        </w:rPr>
        <w:t>tài sản cơ sở</w:t>
      </w:r>
      <w:r w:rsidRPr="00E90A5A">
        <w:rPr>
          <w:rFonts w:ascii="Times New Roman" w:hAnsi="Times New Roman"/>
          <w:i w:val="0"/>
          <w:szCs w:val="28"/>
          <w:lang w:val="nl-NL"/>
        </w:rPr>
        <w:t xml:space="preserve"> và cùng tháng đáo hạn</w:t>
      </w:r>
      <w:r w:rsidRPr="00E90A5A">
        <w:rPr>
          <w:rFonts w:ascii="Times New Roman" w:hAnsi="Times New Roman"/>
          <w:i w:val="0"/>
          <w:szCs w:val="28"/>
          <w:lang w:val="vi-VN"/>
        </w:rPr>
        <w:t>)</w:t>
      </w:r>
      <w:r w:rsidRPr="00E90A5A">
        <w:rPr>
          <w:rFonts w:ascii="Times New Roman" w:hAnsi="Times New Roman"/>
          <w:i w:val="0"/>
          <w:szCs w:val="28"/>
          <w:lang w:val="nl-NL"/>
        </w:rPr>
        <w:t xml:space="preserve"> được mở và duy trì cho đến khi thành viên bù trừ có đề nghị thực hiện đối trừ trên cơ sở thỏa thuận hoặc yêu cầu của nhà đầu tư.”</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 xml:space="preserve">2. Điểm c khoản 2 Điều 6 được sửa đổi, bổ sung như sau: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“c. Nhà đầu tư phải đảm bảo vị thế trên tài khoản giao dịch trong giới hạn vị thế theo quy chế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 xml:space="preserve">. Trường hợp vượt giới hạn vị thế, nhà đầu tư có trách nhiệm thực hiện các giao dịch đối ứng để giảm vị thế, bổ sung ký quỹ (nếu cần thiết) trong thời hạn theo quy chế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w:t>
      </w:r>
    </w:p>
    <w:p w:rsidR="00E90A5A" w:rsidRPr="00E90A5A" w:rsidRDefault="00E90A5A" w:rsidP="00E90A5A">
      <w:pPr>
        <w:spacing w:before="80" w:after="80"/>
        <w:ind w:firstLine="720"/>
        <w:jc w:val="both"/>
        <w:rPr>
          <w:rFonts w:ascii="Times New Roman" w:hAnsi="Times New Roman"/>
          <w:iCs/>
          <w:szCs w:val="28"/>
          <w:lang w:val="vi-VN"/>
        </w:rPr>
      </w:pPr>
      <w:r w:rsidRPr="00E90A5A">
        <w:rPr>
          <w:rFonts w:ascii="Times New Roman" w:hAnsi="Times New Roman"/>
          <w:iCs/>
          <w:szCs w:val="28"/>
          <w:lang w:val="vi-VN"/>
        </w:rPr>
        <w:t xml:space="preserve">Sau thời hạn quy định, nhà đầu tư không hoàn tất việc giảm vị thế thì thành viên bù trừ được thực hiện lệnh giao dịch đối ứng để đóng một phần hoặc toàn bộ vị thế của nhà đầu tư. Trường hợp thành viên bù trừ không thực hiện giao dịch đối ứng để đóng vị thế của nhà đầu tư, </w:t>
      </w:r>
      <w:r w:rsidR="0095677D">
        <w:rPr>
          <w:rFonts w:ascii="Times New Roman" w:hAnsi="Times New Roman"/>
          <w:iCs/>
          <w:szCs w:val="28"/>
          <w:lang w:val="vi-VN"/>
        </w:rPr>
        <w:t>Trung tâm lưu ký chứng khoán Việt Nam</w:t>
      </w:r>
      <w:r w:rsidRPr="00E90A5A">
        <w:rPr>
          <w:rFonts w:ascii="Times New Roman" w:hAnsi="Times New Roman"/>
          <w:iCs/>
          <w:szCs w:val="28"/>
          <w:lang w:val="vi-VN"/>
        </w:rPr>
        <w:t xml:space="preserve"> được thực hiện lệnh giao dịch đối ứng để đóng một phần hoặc toàn bộ vị thế của nhà đầu tư đứng tên thành viên bù trừ.”</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 xml:space="preserve">3. Bổ sung khoản 4 Điều 7 như sau: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“4. Nhà đầu tư được mở tài khoản giao dịch tổng trong các trường hợp sau: </w:t>
      </w:r>
    </w:p>
    <w:p w:rsidR="00381B83" w:rsidRPr="00381B83" w:rsidRDefault="00381B83" w:rsidP="00381B83">
      <w:pPr>
        <w:pStyle w:val="ListParagraph"/>
        <w:numPr>
          <w:ilvl w:val="0"/>
          <w:numId w:val="3"/>
        </w:numPr>
        <w:tabs>
          <w:tab w:val="left" w:pos="993"/>
        </w:tabs>
        <w:spacing w:before="80" w:after="80"/>
        <w:ind w:left="0" w:firstLine="720"/>
        <w:jc w:val="both"/>
        <w:rPr>
          <w:rFonts w:ascii="Times New Roman" w:hAnsi="Times New Roman"/>
          <w:szCs w:val="28"/>
          <w:lang w:val="nl-NL"/>
        </w:rPr>
      </w:pPr>
      <w:r w:rsidRPr="00381B83">
        <w:rPr>
          <w:rFonts w:ascii="Times New Roman" w:hAnsi="Times New Roman"/>
          <w:szCs w:val="28"/>
          <w:lang w:val="nl-NL"/>
        </w:rPr>
        <w:t xml:space="preserve">Công ty quản lý quỹ theo quy định tại khoản 2 Điều này được mở một (01) tài khoản giao dịch tổng cho nhà đầu tư ủy thác trong nước và một (01) tài khoản giao dịch tổng cho nhà đầu tư ủy thác nước ngoài; </w:t>
      </w:r>
    </w:p>
    <w:p w:rsidR="00E90A5A" w:rsidRPr="00381B83" w:rsidRDefault="00E90A5A" w:rsidP="00381B83">
      <w:pPr>
        <w:pStyle w:val="ListParagraph"/>
        <w:numPr>
          <w:ilvl w:val="0"/>
          <w:numId w:val="3"/>
        </w:numPr>
        <w:tabs>
          <w:tab w:val="left" w:pos="993"/>
        </w:tabs>
        <w:spacing w:before="80" w:after="80"/>
        <w:ind w:left="0" w:firstLine="720"/>
        <w:jc w:val="both"/>
        <w:rPr>
          <w:rFonts w:ascii="Times New Roman" w:hAnsi="Times New Roman"/>
          <w:szCs w:val="28"/>
          <w:lang w:val="nl-NL"/>
        </w:rPr>
      </w:pPr>
      <w:r w:rsidRPr="00381B83">
        <w:rPr>
          <w:rFonts w:ascii="Times New Roman" w:hAnsi="Times New Roman"/>
          <w:szCs w:val="28"/>
          <w:lang w:val="nl-NL"/>
        </w:rPr>
        <w:t>Công ty ch</w:t>
      </w:r>
      <w:r w:rsidRPr="00381B83">
        <w:rPr>
          <w:rFonts w:ascii="Times New Roman" w:hAnsi="Times New Roman" w:cs="Arial"/>
          <w:szCs w:val="28"/>
          <w:lang w:val="nl-NL"/>
        </w:rPr>
        <w:t>ứ</w:t>
      </w:r>
      <w:r w:rsidRPr="00381B83">
        <w:rPr>
          <w:rFonts w:ascii="Times New Roman" w:hAnsi="Times New Roman" w:cs=".VnTime"/>
          <w:szCs w:val="28"/>
          <w:lang w:val="nl-NL"/>
        </w:rPr>
        <w:t>ng khoán thành l</w:t>
      </w:r>
      <w:r w:rsidRPr="00381B83">
        <w:rPr>
          <w:rFonts w:ascii="Times New Roman" w:hAnsi="Times New Roman" w:cs="Arial"/>
          <w:szCs w:val="28"/>
          <w:lang w:val="nl-NL"/>
        </w:rPr>
        <w:t>ậ</w:t>
      </w:r>
      <w:r w:rsidRPr="00381B83">
        <w:rPr>
          <w:rFonts w:ascii="Times New Roman" w:hAnsi="Times New Roman" w:cs=".VnTime"/>
          <w:szCs w:val="28"/>
          <w:lang w:val="nl-NL"/>
        </w:rPr>
        <w:t xml:space="preserve">p </w:t>
      </w:r>
      <w:r w:rsidRPr="00381B83">
        <w:rPr>
          <w:rFonts w:ascii="Times New Roman" w:hAnsi="Times New Roman" w:cs="Arial"/>
          <w:szCs w:val="28"/>
          <w:lang w:val="nl-NL"/>
        </w:rPr>
        <w:t>ở</w:t>
      </w:r>
      <w:r w:rsidRPr="00381B83">
        <w:rPr>
          <w:rFonts w:ascii="Times New Roman" w:hAnsi="Times New Roman" w:cs=".VnTime"/>
          <w:szCs w:val="28"/>
          <w:lang w:val="nl-NL"/>
        </w:rPr>
        <w:t xml:space="preserve"> n</w:t>
      </w:r>
      <w:r w:rsidRPr="00381B83">
        <w:rPr>
          <w:rFonts w:ascii="Times New Roman" w:hAnsi="Times New Roman" w:cs="Arial"/>
          <w:szCs w:val="28"/>
          <w:lang w:val="nl-NL"/>
        </w:rPr>
        <w:t>ướ</w:t>
      </w:r>
      <w:r w:rsidRPr="00381B83">
        <w:rPr>
          <w:rFonts w:ascii="Times New Roman" w:hAnsi="Times New Roman" w:cs=".VnTime"/>
          <w:szCs w:val="28"/>
          <w:lang w:val="nl-NL"/>
        </w:rPr>
        <w:t xml:space="preserve">c ngoài </w:t>
      </w:r>
      <w:r w:rsidR="00381B83" w:rsidRPr="00381B83">
        <w:rPr>
          <w:rFonts w:ascii="Times New Roman" w:hAnsi="Times New Roman"/>
          <w:szCs w:val="28"/>
          <w:lang w:val="nl-NL"/>
        </w:rPr>
        <w:t xml:space="preserve">quy định tại khoản 3 Điều này </w:t>
      </w:r>
      <w:r w:rsidRPr="00381B83">
        <w:rPr>
          <w:rFonts w:ascii="Times New Roman" w:hAnsi="Times New Roman"/>
          <w:szCs w:val="28"/>
          <w:lang w:val="nl-NL"/>
        </w:rPr>
        <w:t>được mở một (01) tài khoản</w:t>
      </w:r>
      <w:r w:rsidR="00381B83" w:rsidRPr="00381B83">
        <w:rPr>
          <w:rFonts w:ascii="Times New Roman" w:hAnsi="Times New Roman"/>
          <w:szCs w:val="28"/>
          <w:lang w:val="nl-NL"/>
        </w:rPr>
        <w:t xml:space="preserve"> giao dịch tổng</w:t>
      </w:r>
      <w:r w:rsidRPr="00381B83">
        <w:rPr>
          <w:rFonts w:ascii="Times New Roman" w:hAnsi="Times New Roman"/>
          <w:szCs w:val="28"/>
          <w:lang w:val="nl-NL"/>
        </w:rPr>
        <w:t xml:space="preserve"> để thực hiện hoạt động môi giới chứng khoán phái sinh cho các nhà đầu tư nước ngoài;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c. Các trường hợp khác theo hướng dẫn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 xml:space="preserve">4. Khoản 1 Điều 8 được sửa đổi, bổ sung như sau: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“1. Thành viên bù trừ mở tài khoản tiền gửi ký quỹ cho nhà đầu tư đứng tên thành viên bù trừ theo quy định tại điểm a khoản 4 Điều 26 Nghị định số 42/2015/NĐ-CP và có trách nhiệm quản lý tách biệt tiền gửi ký quỹ tới từng nhà đầu tư. Tiền gửi ký quỹ này thuộc sở hữu của nhà đầu tư, không thuộc sở hữu của thành viên bù trừ. Thành viên bù trừ được sử dụng tài khoản tiền gửi ký quỹ của nhà đầu tư theo quy định tại khoản 2 Điều này.</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Thành viên bù trừ mở cho mỗi nhà đầu tư một (01) tài khoản chứng khoán ký quỹ để quản lý tài sản ký quỹ và thực hiện nghĩa vụ thanh toán cho vị thế trên </w:t>
      </w:r>
      <w:r w:rsidRPr="00E90A5A">
        <w:rPr>
          <w:rFonts w:ascii="Times New Roman" w:hAnsi="Times New Roman"/>
          <w:szCs w:val="28"/>
          <w:lang w:val="nl-NL"/>
        </w:rPr>
        <w:lastRenderedPageBreak/>
        <w:t>tài khoản giao dịch của nhà đầu tư. Thành viên không bù trừ, khách hàng môi giới của thành viên không bù trừ mở tài khoản chứng khoán ký quỹ tại thành viên bù trừ chung.”</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i w:val="0"/>
          <w:szCs w:val="28"/>
          <w:lang w:val="nl-NL"/>
        </w:rPr>
        <w:t>5. Điểm a, b khoản 1 Điều 9 được sửa đổi, bổ sung như sau:</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“a) Trường hợp thanh toán lãi lỗ vị thế: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 Tại ngày giao dịch trước ngày giao dịch cuối cùng, giá trị khoản thanh toán lãi lỗ vị thế được xác định hàng ngày trên cơ sở các vị thế mở trên tài khoản giao dịch của nhà đầu tư và chênh lệch giữa giá thanh toán cuối ngày so với giá thanh toán cuối ngày của ngày giao dịch liền trước; hoặc chênh lệch giữa giá thanh toán cuối ngày so với giá thanh toán (đối với vị thế vừa mở trong ngày); hoặc chênh lệch giữa giá thanh toán so với giá thanh toán cuối ngày của ngày giao dịch liền trước (đối với trường hợp đóng vị thế trước hạn); hoặc chênh lệch giữa giá thanh toán đóng vị thế so với giá thanh toán mở vị thế (đối với trường hợp mở và đóng vị thế trong cùng ngày giao dịch).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Tại ngày giao dịch cuối cùng, giá trị khoản thanh toán lãi lỗ vị thế được xác định trên cơ sở các vị thế mở trên tài khoản giao dịch của nhà đầu tư và chênh lệch giữa giá thanh toán cuối cùng so với giá thanh toán cuối ngày của ngày giao dịch liền trước; hoặc chênh lệch giữa giá thanh toán cuối cùng so với giá thanh toán (đối với vị thế vừa mở trong ngày); hoặc chênh lệch giữa giá thanh toán so với giá thanh toán cuối ngày của ngày giao dịch liền trước (đối với trường hợp đóng vị thế trước hạn); hoặc chênh lệch giữa giá thanh toán đóng vị thế so với giá thanh toán mở vị thế (đối với trường hợp mở và đóng vị thế trong cùng ngày giao dịch cuối cùng).</w:t>
      </w:r>
    </w:p>
    <w:p w:rsidR="00E90A5A" w:rsidRPr="00E90A5A" w:rsidRDefault="00E90A5A" w:rsidP="00E90A5A">
      <w:pPr>
        <w:spacing w:before="80" w:after="80"/>
        <w:ind w:firstLine="720"/>
        <w:jc w:val="both"/>
        <w:rPr>
          <w:rFonts w:ascii="Times New Roman" w:hAnsi="Times New Roman"/>
          <w:b/>
          <w:szCs w:val="28"/>
          <w:lang w:val="nl-NL"/>
        </w:rPr>
      </w:pPr>
      <w:r w:rsidRPr="00E90A5A">
        <w:rPr>
          <w:rFonts w:ascii="Times New Roman" w:hAnsi="Times New Roman"/>
          <w:szCs w:val="28"/>
          <w:lang w:val="nl-NL"/>
        </w:rPr>
        <w:t>Các mức giá nêu trên được công bố trên trang thông tin điện tử của Sở giao dịch chứng khoán.</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b) Trường hợp thanh toán khi thực hiện hợp đồng: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Đối với hợp đồng thanh toán dưới hình thức bằng tiền: việc thanh toán hợp đồng được hoàn tất khi hoàn tất thanh toán lãi lỗ vị thế của ngày giao dịch cuối cùng.</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 Đối với hợp đồng thanh toán dưới hình thức chuyển giao tài sản cơ sở: nhà đầu tư bên bán phải chuyển giao tài sản cơ sở và nhà đầu tư bên mua phải thực hiện thanh toán tiền theo các điều khoản tại hợp đồng và Quy chế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6. </w:t>
      </w:r>
      <w:r w:rsidR="00D401A7">
        <w:rPr>
          <w:rFonts w:ascii="Times New Roman" w:hAnsi="Times New Roman"/>
          <w:szCs w:val="28"/>
          <w:lang w:val="nl-NL"/>
        </w:rPr>
        <w:t>Sửa đổi đ</w:t>
      </w:r>
      <w:r w:rsidRPr="00E90A5A">
        <w:rPr>
          <w:rFonts w:ascii="Times New Roman" w:hAnsi="Times New Roman"/>
          <w:szCs w:val="28"/>
          <w:lang w:val="nl-NL"/>
        </w:rPr>
        <w:t>iểm b</w:t>
      </w:r>
      <w:r w:rsidR="00D401A7">
        <w:rPr>
          <w:rFonts w:ascii="Times New Roman" w:hAnsi="Times New Roman"/>
          <w:szCs w:val="28"/>
          <w:lang w:val="nl-NL"/>
        </w:rPr>
        <w:t>, bổ sung điểm c</w:t>
      </w:r>
      <w:r w:rsidRPr="00E90A5A">
        <w:rPr>
          <w:rFonts w:ascii="Times New Roman" w:hAnsi="Times New Roman"/>
          <w:szCs w:val="28"/>
          <w:lang w:val="nl-NL"/>
        </w:rPr>
        <w:t xml:space="preserve"> khoản 3 Điều 19 như sau:</w:t>
      </w:r>
    </w:p>
    <w:p w:rsidR="00E90A5A" w:rsidRPr="00E90A5A" w:rsidRDefault="00E90A5A" w:rsidP="00E90A5A">
      <w:pPr>
        <w:widowControl w:val="0"/>
        <w:autoSpaceDE w:val="0"/>
        <w:autoSpaceDN w:val="0"/>
        <w:adjustRightInd w:val="0"/>
        <w:spacing w:before="80" w:after="80"/>
        <w:ind w:firstLine="720"/>
        <w:jc w:val="both"/>
        <w:rPr>
          <w:rFonts w:ascii="Times New Roman" w:hAnsi="Times New Roman"/>
          <w:szCs w:val="28"/>
          <w:lang w:val="nl-NL"/>
        </w:rPr>
      </w:pPr>
      <w:r w:rsidRPr="00E90A5A">
        <w:rPr>
          <w:rFonts w:ascii="Times New Roman" w:hAnsi="Times New Roman"/>
          <w:szCs w:val="28"/>
          <w:lang w:val="nl-NL"/>
        </w:rPr>
        <w:t xml:space="preserve">“b) Trường hợp thanh toán dưới hình thức chuyển giao tài sản cơ sở: thành viên bù trừ bên bán phải chuyển giao đủ số lượng và đúng loại tài sản cơ sở có thể chuyển giao theo hợp đồng chứng khoán phái sinh vào tài khoản chứng khoán ký quỹ thành viên theo yêu cầu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 xml:space="preserve">. Thành viên bù trừ được sử dụng chứng khoán vay từ hệ thống vay và cho vay chứng khoán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 xml:space="preserve"> để thanh toán theo Quy chế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 xml:space="preserve">. </w:t>
      </w:r>
    </w:p>
    <w:p w:rsidR="00E90A5A" w:rsidRPr="00E90A5A" w:rsidRDefault="00E90A5A" w:rsidP="00E90A5A">
      <w:pPr>
        <w:widowControl w:val="0"/>
        <w:autoSpaceDE w:val="0"/>
        <w:autoSpaceDN w:val="0"/>
        <w:adjustRightInd w:val="0"/>
        <w:spacing w:before="80" w:after="80"/>
        <w:ind w:firstLine="720"/>
        <w:jc w:val="both"/>
        <w:rPr>
          <w:rFonts w:ascii="Times New Roman" w:hAnsi="Times New Roman"/>
          <w:szCs w:val="28"/>
          <w:lang w:val="nl-NL"/>
        </w:rPr>
      </w:pPr>
      <w:r w:rsidRPr="00E90A5A">
        <w:rPr>
          <w:rFonts w:ascii="Times New Roman" w:hAnsi="Times New Roman"/>
          <w:szCs w:val="28"/>
          <w:lang w:val="nl-NL"/>
        </w:rPr>
        <w:lastRenderedPageBreak/>
        <w:t xml:space="preserve">Thành viên bù trừ bên mua chỉ được nhận tài sản chuyển giao sau khi đã thanh toán đủ tiền theo yêu cầu của </w:t>
      </w:r>
      <w:r w:rsidR="0095677D">
        <w:rPr>
          <w:rFonts w:ascii="Times New Roman" w:hAnsi="Times New Roman"/>
          <w:szCs w:val="28"/>
          <w:lang w:val="nl-NL"/>
        </w:rPr>
        <w:t>Trung tâm lưu ký chứng khoán Việt Nam</w:t>
      </w:r>
      <w:r w:rsidRPr="00E90A5A">
        <w:rPr>
          <w:rFonts w:ascii="Times New Roman" w:hAnsi="Times New Roman"/>
          <w:szCs w:val="28"/>
          <w:lang w:val="nl-NL"/>
        </w:rPr>
        <w:t>, sau đó phân</w:t>
      </w:r>
      <w:r w:rsidR="00D401A7">
        <w:rPr>
          <w:rFonts w:ascii="Times New Roman" w:hAnsi="Times New Roman"/>
          <w:szCs w:val="28"/>
          <w:lang w:val="nl-NL"/>
        </w:rPr>
        <w:t xml:space="preserve"> bổ cho nhà đầu tư bên mua ngay;</w:t>
      </w:r>
    </w:p>
    <w:p w:rsidR="00E90A5A" w:rsidRPr="00E90A5A" w:rsidRDefault="001A0B5E" w:rsidP="00E90A5A">
      <w:pPr>
        <w:spacing w:before="80" w:after="80"/>
        <w:ind w:firstLine="709"/>
        <w:jc w:val="both"/>
        <w:rPr>
          <w:rFonts w:ascii="Times New Roman" w:hAnsi="Times New Roman"/>
          <w:color w:val="000000" w:themeColor="text1"/>
          <w:szCs w:val="28"/>
          <w:lang w:val="vi-VN"/>
        </w:rPr>
      </w:pPr>
      <w:r>
        <w:rPr>
          <w:rFonts w:ascii="Times New Roman" w:hAnsi="Times New Roman"/>
          <w:color w:val="000000" w:themeColor="text1"/>
          <w:szCs w:val="28"/>
          <w:lang w:val="nl-NL"/>
        </w:rPr>
        <w:t>c.</w:t>
      </w:r>
      <w:r w:rsidR="00E90A5A" w:rsidRPr="00E90A5A">
        <w:rPr>
          <w:rFonts w:ascii="Times New Roman" w:hAnsi="Times New Roman"/>
          <w:color w:val="000000" w:themeColor="text1"/>
          <w:szCs w:val="28"/>
          <w:lang w:val="nl-NL"/>
        </w:rPr>
        <w:t xml:space="preserve"> </w:t>
      </w:r>
      <w:r>
        <w:rPr>
          <w:rFonts w:ascii="Times New Roman" w:hAnsi="Times New Roman"/>
          <w:color w:val="000000" w:themeColor="text1"/>
          <w:szCs w:val="28"/>
          <w:lang w:val="nl-NL"/>
        </w:rPr>
        <w:t>T</w:t>
      </w:r>
      <w:r w:rsidR="00E90A5A" w:rsidRPr="00E90A5A">
        <w:rPr>
          <w:rFonts w:ascii="Times New Roman" w:hAnsi="Times New Roman"/>
          <w:color w:val="000000" w:themeColor="text1"/>
          <w:szCs w:val="28"/>
          <w:lang w:val="nl-NL"/>
        </w:rPr>
        <w:t xml:space="preserve">rường hợp thành viên bù trừ </w:t>
      </w:r>
      <w:r>
        <w:rPr>
          <w:rFonts w:ascii="Times New Roman" w:hAnsi="Times New Roman"/>
          <w:color w:val="000000" w:themeColor="text1"/>
          <w:szCs w:val="28"/>
          <w:lang w:val="nl-NL"/>
        </w:rPr>
        <w:t xml:space="preserve">không đủ </w:t>
      </w:r>
      <w:r w:rsidR="00E90A5A" w:rsidRPr="00E90A5A">
        <w:rPr>
          <w:rFonts w:ascii="Times New Roman" w:hAnsi="Times New Roman"/>
          <w:color w:val="000000" w:themeColor="text1"/>
          <w:szCs w:val="28"/>
          <w:lang w:val="nl-NL"/>
        </w:rPr>
        <w:t>tiền</w:t>
      </w:r>
      <w:r>
        <w:rPr>
          <w:rFonts w:ascii="Times New Roman" w:hAnsi="Times New Roman"/>
          <w:color w:val="000000" w:themeColor="text1"/>
          <w:szCs w:val="28"/>
          <w:lang w:val="nl-NL"/>
        </w:rPr>
        <w:t xml:space="preserve"> để thanh toán</w:t>
      </w:r>
      <w:r w:rsidR="00E90A5A" w:rsidRPr="00E90A5A">
        <w:rPr>
          <w:rFonts w:ascii="Times New Roman" w:hAnsi="Times New Roman"/>
          <w:color w:val="000000" w:themeColor="text1"/>
          <w:szCs w:val="28"/>
          <w:lang w:val="nl-NL"/>
        </w:rPr>
        <w:t xml:space="preserve"> hoặc trái phiếu Chính phủ</w:t>
      </w:r>
      <w:r>
        <w:rPr>
          <w:rFonts w:ascii="Times New Roman" w:hAnsi="Times New Roman"/>
          <w:color w:val="000000" w:themeColor="text1"/>
          <w:szCs w:val="28"/>
          <w:lang w:val="nl-NL"/>
        </w:rPr>
        <w:t xml:space="preserve"> để </w:t>
      </w:r>
      <w:r w:rsidRPr="00E90A5A">
        <w:rPr>
          <w:rFonts w:ascii="Times New Roman" w:hAnsi="Times New Roman"/>
          <w:color w:val="000000" w:themeColor="text1"/>
          <w:szCs w:val="28"/>
          <w:lang w:val="nl-NL"/>
        </w:rPr>
        <w:t>chuyển giao</w:t>
      </w:r>
      <w:r>
        <w:rPr>
          <w:rFonts w:ascii="Times New Roman" w:hAnsi="Times New Roman"/>
          <w:color w:val="000000" w:themeColor="text1"/>
          <w:szCs w:val="28"/>
          <w:lang w:val="nl-NL"/>
        </w:rPr>
        <w:t>,</w:t>
      </w:r>
      <w:r w:rsidRPr="00E90A5A">
        <w:rPr>
          <w:rFonts w:ascii="Times New Roman" w:hAnsi="Times New Roman"/>
          <w:color w:val="000000" w:themeColor="text1"/>
          <w:szCs w:val="28"/>
          <w:lang w:val="nl-NL"/>
        </w:rPr>
        <w:t xml:space="preserve"> </w:t>
      </w:r>
      <w:r>
        <w:rPr>
          <w:rFonts w:ascii="Times New Roman" w:hAnsi="Times New Roman"/>
          <w:color w:val="000000" w:themeColor="text1"/>
          <w:szCs w:val="28"/>
          <w:lang w:val="vi-VN"/>
        </w:rPr>
        <w:t>Trung tâm lưu ký chứng khoán Việt Nam</w:t>
      </w:r>
      <w:r w:rsidRPr="00E90A5A">
        <w:rPr>
          <w:rFonts w:ascii="Times New Roman" w:hAnsi="Times New Roman"/>
          <w:color w:val="000000" w:themeColor="text1"/>
          <w:szCs w:val="28"/>
          <w:lang w:val="nl-NL"/>
        </w:rPr>
        <w:t xml:space="preserve"> được thực hiện thanh toán hợp đồng tương lai trái phiếu Chính phủ theo hình thức bằng tiền</w:t>
      </w:r>
      <w:r w:rsidR="00E90A5A" w:rsidRPr="00E90A5A">
        <w:rPr>
          <w:rFonts w:ascii="Times New Roman" w:hAnsi="Times New Roman"/>
          <w:color w:val="000000" w:themeColor="text1"/>
          <w:szCs w:val="28"/>
          <w:lang w:val="nl-NL"/>
        </w:rPr>
        <w:t>.</w:t>
      </w:r>
      <w:r w:rsidR="00E90A5A" w:rsidRPr="00E90A5A">
        <w:rPr>
          <w:rFonts w:ascii="Times New Roman" w:hAnsi="Times New Roman"/>
          <w:color w:val="000000" w:themeColor="text1"/>
          <w:szCs w:val="28"/>
          <w:lang w:val="vi-VN"/>
        </w:rPr>
        <w:t xml:space="preserve"> Trong trường hợp này, thành viên bù trừ </w:t>
      </w:r>
      <w:r w:rsidR="00300EAF">
        <w:rPr>
          <w:rFonts w:ascii="Times New Roman" w:hAnsi="Times New Roman"/>
          <w:color w:val="000000" w:themeColor="text1"/>
          <w:szCs w:val="28"/>
          <w:lang w:val="nl-NL"/>
        </w:rPr>
        <w:t xml:space="preserve">không đủ </w:t>
      </w:r>
      <w:r w:rsidR="00300EAF" w:rsidRPr="00E90A5A">
        <w:rPr>
          <w:rFonts w:ascii="Times New Roman" w:hAnsi="Times New Roman"/>
          <w:color w:val="000000" w:themeColor="text1"/>
          <w:szCs w:val="28"/>
          <w:lang w:val="nl-NL"/>
        </w:rPr>
        <w:t>tiền</w:t>
      </w:r>
      <w:r w:rsidR="00300EAF">
        <w:rPr>
          <w:rFonts w:ascii="Times New Roman" w:hAnsi="Times New Roman"/>
          <w:color w:val="000000" w:themeColor="text1"/>
          <w:szCs w:val="28"/>
          <w:lang w:val="nl-NL"/>
        </w:rPr>
        <w:t xml:space="preserve"> để thanh toán</w:t>
      </w:r>
      <w:r w:rsidR="00300EAF" w:rsidRPr="00E90A5A">
        <w:rPr>
          <w:rFonts w:ascii="Times New Roman" w:hAnsi="Times New Roman"/>
          <w:color w:val="000000" w:themeColor="text1"/>
          <w:szCs w:val="28"/>
          <w:lang w:val="nl-NL"/>
        </w:rPr>
        <w:t xml:space="preserve"> hoặc trái phiếu Chính phủ</w:t>
      </w:r>
      <w:r w:rsidR="00300EAF">
        <w:rPr>
          <w:rFonts w:ascii="Times New Roman" w:hAnsi="Times New Roman"/>
          <w:color w:val="000000" w:themeColor="text1"/>
          <w:szCs w:val="28"/>
          <w:lang w:val="nl-NL"/>
        </w:rPr>
        <w:t xml:space="preserve"> để </w:t>
      </w:r>
      <w:r w:rsidR="00300EAF" w:rsidRPr="00E90A5A">
        <w:rPr>
          <w:rFonts w:ascii="Times New Roman" w:hAnsi="Times New Roman"/>
          <w:color w:val="000000" w:themeColor="text1"/>
          <w:szCs w:val="28"/>
          <w:lang w:val="nl-NL"/>
        </w:rPr>
        <w:t>chuyển giao</w:t>
      </w:r>
      <w:r w:rsidR="00C50B37">
        <w:rPr>
          <w:rFonts w:ascii="Times New Roman" w:hAnsi="Times New Roman"/>
          <w:color w:val="000000" w:themeColor="text1"/>
          <w:szCs w:val="28"/>
          <w:lang w:val="vi-VN"/>
        </w:rPr>
        <w:t xml:space="preserve"> có trách nhiệm bồi thường</w:t>
      </w:r>
      <w:r w:rsidR="00E90A5A" w:rsidRPr="00E90A5A">
        <w:rPr>
          <w:rFonts w:ascii="Times New Roman" w:hAnsi="Times New Roman"/>
          <w:color w:val="000000" w:themeColor="text1"/>
          <w:szCs w:val="28"/>
          <w:lang w:val="vi-VN"/>
        </w:rPr>
        <w:t xml:space="preserve"> cho thành viên bù trừ liên quan </w:t>
      </w:r>
      <w:r w:rsidR="00C50B37" w:rsidRPr="00E90A5A">
        <w:rPr>
          <w:rFonts w:ascii="Times New Roman" w:hAnsi="Times New Roman"/>
          <w:color w:val="000000" w:themeColor="text1"/>
          <w:szCs w:val="28"/>
          <w:lang w:val="vi-VN"/>
        </w:rPr>
        <w:t xml:space="preserve">thông qua </w:t>
      </w:r>
      <w:r w:rsidR="00C50B37">
        <w:rPr>
          <w:rFonts w:ascii="Times New Roman" w:hAnsi="Times New Roman"/>
          <w:color w:val="000000" w:themeColor="text1"/>
          <w:szCs w:val="28"/>
          <w:lang w:val="vi-VN"/>
        </w:rPr>
        <w:t>Trung tâm lưu ký chứng khoán Việt Nam</w:t>
      </w:r>
      <w:r w:rsidR="00C50B37" w:rsidRPr="00C50B37">
        <w:rPr>
          <w:rFonts w:ascii="Times New Roman" w:hAnsi="Times New Roman"/>
          <w:color w:val="000000" w:themeColor="text1"/>
          <w:szCs w:val="28"/>
          <w:lang w:val="vi-VN"/>
        </w:rPr>
        <w:t xml:space="preserve">, </w:t>
      </w:r>
      <w:r w:rsidR="00E90A5A" w:rsidRPr="00E90A5A">
        <w:rPr>
          <w:rFonts w:ascii="Times New Roman" w:hAnsi="Times New Roman"/>
          <w:color w:val="000000" w:themeColor="text1"/>
          <w:szCs w:val="28"/>
          <w:lang w:val="vi-VN"/>
        </w:rPr>
        <w:t xml:space="preserve">với số tiền có giá trị không thấp hơn 5% giá trị thanh toán hợp đồng. </w:t>
      </w:r>
      <w:r w:rsidR="0095677D">
        <w:rPr>
          <w:rFonts w:ascii="Times New Roman" w:hAnsi="Times New Roman"/>
          <w:color w:val="000000" w:themeColor="text1"/>
          <w:szCs w:val="28"/>
          <w:lang w:val="vi-VN"/>
        </w:rPr>
        <w:t>Trung tâm lưu ký chứng khoán Việt Nam</w:t>
      </w:r>
      <w:r w:rsidR="00E90A5A" w:rsidRPr="00E90A5A">
        <w:rPr>
          <w:rFonts w:ascii="Times New Roman" w:hAnsi="Times New Roman"/>
          <w:color w:val="000000" w:themeColor="text1"/>
          <w:szCs w:val="28"/>
          <w:lang w:val="vi-VN"/>
        </w:rPr>
        <w:t xml:space="preserve"> quy định việc xác định giá trị và phương thức thanh toán bồi thường.”</w:t>
      </w:r>
    </w:p>
    <w:p w:rsidR="00E90A5A" w:rsidRPr="00E90A5A" w:rsidRDefault="00D401A7" w:rsidP="00E90A5A">
      <w:pPr>
        <w:spacing w:before="80" w:after="80"/>
        <w:ind w:firstLine="709"/>
        <w:jc w:val="both"/>
        <w:rPr>
          <w:rFonts w:ascii="Times New Roman" w:hAnsi="Times New Roman"/>
          <w:color w:val="000000" w:themeColor="text1"/>
          <w:szCs w:val="28"/>
          <w:lang w:val="nl-NL"/>
        </w:rPr>
      </w:pPr>
      <w:r>
        <w:rPr>
          <w:rFonts w:ascii="Times New Roman" w:hAnsi="Times New Roman"/>
          <w:color w:val="000000" w:themeColor="text1"/>
          <w:szCs w:val="28"/>
          <w:lang w:val="nl-NL"/>
        </w:rPr>
        <w:t>7</w:t>
      </w:r>
      <w:r w:rsidR="00E90A5A" w:rsidRPr="00E90A5A">
        <w:rPr>
          <w:rFonts w:ascii="Times New Roman" w:hAnsi="Times New Roman"/>
          <w:color w:val="000000" w:themeColor="text1"/>
          <w:szCs w:val="28"/>
          <w:lang w:val="nl-NL"/>
        </w:rPr>
        <w:t xml:space="preserve">. Điểm d khoản 2 Điều 24 được sửa đổi, bổ sung như sau: </w:t>
      </w:r>
    </w:p>
    <w:p w:rsidR="00E90A5A" w:rsidRPr="00E90A5A" w:rsidRDefault="00E90A5A" w:rsidP="00E90A5A">
      <w:pPr>
        <w:spacing w:before="80" w:after="80"/>
        <w:ind w:firstLine="720"/>
        <w:jc w:val="both"/>
        <w:rPr>
          <w:rFonts w:ascii="Times New Roman" w:hAnsi="Times New Roman"/>
          <w:color w:val="000000" w:themeColor="text1"/>
          <w:szCs w:val="28"/>
          <w:lang w:val="nl-NL"/>
        </w:rPr>
      </w:pPr>
      <w:r w:rsidRPr="00E90A5A">
        <w:rPr>
          <w:rFonts w:ascii="Times New Roman" w:hAnsi="Times New Roman"/>
          <w:color w:val="000000" w:themeColor="text1"/>
          <w:szCs w:val="28"/>
          <w:lang w:val="nl-NL"/>
        </w:rPr>
        <w:t xml:space="preserve">“d) Sử dụng khoản đóng góp của các thành viên bù trừ khác theo tỷ lệ do </w:t>
      </w:r>
      <w:r w:rsidR="0095677D">
        <w:rPr>
          <w:rFonts w:ascii="Times New Roman" w:hAnsi="Times New Roman"/>
          <w:color w:val="000000" w:themeColor="text1"/>
          <w:szCs w:val="28"/>
          <w:lang w:val="nl-NL"/>
        </w:rPr>
        <w:t>Trung tâm lưu ký chứng khoán Việt Nam</w:t>
      </w:r>
      <w:r w:rsidRPr="00E90A5A">
        <w:rPr>
          <w:rFonts w:ascii="Times New Roman" w:hAnsi="Times New Roman"/>
          <w:color w:val="000000" w:themeColor="text1"/>
          <w:szCs w:val="28"/>
          <w:lang w:val="nl-NL"/>
        </w:rPr>
        <w:t xml:space="preserve"> xác định. Trong trường hợp này, </w:t>
      </w:r>
      <w:r w:rsidR="0095677D">
        <w:rPr>
          <w:rFonts w:ascii="Times New Roman" w:hAnsi="Times New Roman"/>
          <w:color w:val="000000" w:themeColor="text1"/>
          <w:szCs w:val="28"/>
          <w:lang w:val="nl-NL"/>
        </w:rPr>
        <w:t>Trung tâm lưu ký chứng khoán Việt Nam</w:t>
      </w:r>
      <w:r w:rsidRPr="00E90A5A">
        <w:rPr>
          <w:rFonts w:ascii="Times New Roman" w:hAnsi="Times New Roman"/>
          <w:color w:val="000000" w:themeColor="text1"/>
          <w:szCs w:val="28"/>
          <w:lang w:val="nl-NL"/>
        </w:rPr>
        <w:t xml:space="preserve"> thông báo cho các thành viên bù trừ liên quan chi tiết về việc sử dụng Quỹ bù trừ ngay trong ngày sử dụng. Thành viên bù trừ mất khả năng thanh toán có nghĩa vụ hoàn trả toàn bộ số tài sản đã sử dụng của Quỹ và thanh toán tiền lãi cho các thành viên khác theo lãi suất do </w:t>
      </w:r>
      <w:r w:rsidR="0095677D">
        <w:rPr>
          <w:rFonts w:ascii="Times New Roman" w:hAnsi="Times New Roman"/>
          <w:color w:val="000000" w:themeColor="text1"/>
          <w:szCs w:val="28"/>
          <w:lang w:val="nl-NL"/>
        </w:rPr>
        <w:t>Trung tâm lưu ký chứng khoán Việt Nam</w:t>
      </w:r>
      <w:r w:rsidRPr="00E90A5A">
        <w:rPr>
          <w:rFonts w:ascii="Times New Roman" w:hAnsi="Times New Roman"/>
          <w:color w:val="000000" w:themeColor="text1"/>
          <w:szCs w:val="28"/>
          <w:lang w:val="nl-NL"/>
        </w:rPr>
        <w:t xml:space="preserve"> xác định phù hợp với quy định của pháp luật hiện hành;”</w:t>
      </w:r>
    </w:p>
    <w:p w:rsidR="00E90A5A" w:rsidRPr="00E90A5A" w:rsidRDefault="00D401A7" w:rsidP="00E90A5A">
      <w:pPr>
        <w:spacing w:before="80" w:after="80"/>
        <w:ind w:firstLine="709"/>
        <w:jc w:val="both"/>
        <w:rPr>
          <w:rFonts w:ascii="Times New Roman" w:hAnsi="Times New Roman"/>
          <w:color w:val="000000" w:themeColor="text1"/>
          <w:szCs w:val="28"/>
          <w:lang w:val="nl-NL"/>
        </w:rPr>
      </w:pPr>
      <w:r w:rsidRPr="00D401A7">
        <w:rPr>
          <w:rFonts w:ascii="Times New Roman" w:hAnsi="Times New Roman"/>
          <w:color w:val="000000" w:themeColor="text1"/>
          <w:szCs w:val="28"/>
          <w:lang w:val="nl-NL"/>
        </w:rPr>
        <w:t>8</w:t>
      </w:r>
      <w:r w:rsidR="00E90A5A" w:rsidRPr="00E90A5A">
        <w:rPr>
          <w:rFonts w:ascii="Times New Roman" w:hAnsi="Times New Roman"/>
          <w:color w:val="000000" w:themeColor="text1"/>
          <w:szCs w:val="28"/>
          <w:lang w:val="vi-VN"/>
        </w:rPr>
        <w:t xml:space="preserve">. </w:t>
      </w:r>
      <w:r w:rsidR="00E90A5A" w:rsidRPr="00E90A5A">
        <w:rPr>
          <w:rFonts w:ascii="Times New Roman" w:hAnsi="Times New Roman"/>
          <w:color w:val="000000" w:themeColor="text1"/>
          <w:szCs w:val="28"/>
          <w:lang w:val="nl-NL"/>
        </w:rPr>
        <w:t>B</w:t>
      </w:r>
      <w:r w:rsidR="00E90A5A" w:rsidRPr="00E90A5A">
        <w:rPr>
          <w:rFonts w:ascii="Times New Roman" w:hAnsi="Times New Roman"/>
          <w:color w:val="000000" w:themeColor="text1"/>
          <w:szCs w:val="28"/>
          <w:lang w:val="vi-VN"/>
        </w:rPr>
        <w:t>ổ sung k</w:t>
      </w:r>
      <w:r w:rsidR="00E90A5A" w:rsidRPr="00E90A5A">
        <w:rPr>
          <w:rFonts w:ascii="Times New Roman" w:hAnsi="Times New Roman"/>
          <w:color w:val="000000" w:themeColor="text1"/>
          <w:szCs w:val="28"/>
          <w:lang w:val="nl-NL"/>
        </w:rPr>
        <w:t>hoản 5 Điều 24 như sau:</w:t>
      </w:r>
    </w:p>
    <w:p w:rsidR="00E90A5A" w:rsidRPr="00E90A5A" w:rsidRDefault="00E90A5A" w:rsidP="00E90A5A">
      <w:pPr>
        <w:spacing w:before="80" w:after="80"/>
        <w:ind w:firstLine="720"/>
        <w:jc w:val="both"/>
        <w:rPr>
          <w:rFonts w:ascii="Times New Roman" w:hAnsi="Times New Roman"/>
          <w:color w:val="000000" w:themeColor="text1"/>
          <w:szCs w:val="28"/>
          <w:lang w:val="nl-NL"/>
        </w:rPr>
      </w:pPr>
      <w:r w:rsidRPr="00E90A5A">
        <w:rPr>
          <w:rFonts w:ascii="Times New Roman" w:hAnsi="Times New Roman"/>
          <w:color w:val="000000" w:themeColor="text1"/>
          <w:szCs w:val="28"/>
          <w:lang w:val="nl-NL"/>
        </w:rPr>
        <w:t xml:space="preserve">“5. Trường hợp thành viên bù trừ mất khả năng thanh toán và đã được </w:t>
      </w:r>
      <w:r w:rsidR="0095677D">
        <w:rPr>
          <w:rFonts w:ascii="Times New Roman" w:hAnsi="Times New Roman"/>
          <w:color w:val="000000" w:themeColor="text1"/>
          <w:szCs w:val="28"/>
          <w:lang w:val="nl-NL"/>
        </w:rPr>
        <w:t>Trung tâm lưu ký chứng khoán Việt Nam</w:t>
      </w:r>
      <w:r w:rsidRPr="00E90A5A">
        <w:rPr>
          <w:rFonts w:ascii="Times New Roman" w:hAnsi="Times New Roman"/>
          <w:color w:val="000000" w:themeColor="text1"/>
          <w:szCs w:val="28"/>
          <w:lang w:val="nl-NL"/>
        </w:rPr>
        <w:t xml:space="preserve"> thực hiện các biện pháp hỗ trợ thanh toán quy định tại khoản 2, khoản 3 Điều này, thành viên bù trừ có trách nhiệm hoàn trả </w:t>
      </w:r>
      <w:r w:rsidR="0095677D">
        <w:rPr>
          <w:rFonts w:ascii="Times New Roman" w:hAnsi="Times New Roman"/>
          <w:color w:val="000000" w:themeColor="text1"/>
          <w:szCs w:val="28"/>
          <w:lang w:val="nl-NL"/>
        </w:rPr>
        <w:t>Trung tâm lưu ký chứng khoán Việt Nam</w:t>
      </w:r>
      <w:r w:rsidRPr="00E90A5A">
        <w:rPr>
          <w:rFonts w:ascii="Times New Roman" w:hAnsi="Times New Roman"/>
          <w:color w:val="000000" w:themeColor="text1"/>
          <w:szCs w:val="28"/>
          <w:lang w:val="nl-NL"/>
        </w:rPr>
        <w:t xml:space="preserve"> toàn bộ phần tài sản đã sử dụng từ Quỹ bù trừ, Quỹ dự phòng rủi ro và các nguồn khác để đảm bảo thanh toán và chịu mọi chi phí phát sinh liên quan.”</w:t>
      </w:r>
    </w:p>
    <w:p w:rsidR="00E90A5A" w:rsidRPr="00E90A5A" w:rsidRDefault="00D401A7"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Pr>
          <w:rFonts w:ascii="Times New Roman" w:hAnsi="Times New Roman"/>
          <w:i w:val="0"/>
          <w:szCs w:val="28"/>
          <w:lang w:val="nl-NL"/>
        </w:rPr>
        <w:t>9</w:t>
      </w:r>
      <w:r w:rsidR="00E90A5A" w:rsidRPr="00E90A5A">
        <w:rPr>
          <w:rFonts w:ascii="Times New Roman" w:hAnsi="Times New Roman"/>
          <w:i w:val="0"/>
          <w:szCs w:val="28"/>
          <w:lang w:val="nl-NL"/>
        </w:rPr>
        <w:t xml:space="preserve">. Điểm a khoản 1 Điều 28 được sửa đổi, bổ sung như sau: </w:t>
      </w:r>
    </w:p>
    <w:p w:rsidR="00E90A5A" w:rsidRPr="00E90A5A" w:rsidRDefault="00E90A5A" w:rsidP="00E90A5A">
      <w:pPr>
        <w:spacing w:before="80" w:after="80"/>
        <w:ind w:firstLine="720"/>
        <w:jc w:val="both"/>
        <w:rPr>
          <w:rFonts w:ascii="Times New Roman" w:hAnsi="Times New Roman"/>
          <w:szCs w:val="28"/>
          <w:lang w:val="nl-NL"/>
        </w:rPr>
      </w:pPr>
      <w:r w:rsidRPr="00E90A5A">
        <w:rPr>
          <w:rFonts w:ascii="Times New Roman" w:hAnsi="Times New Roman"/>
          <w:szCs w:val="28"/>
          <w:lang w:val="nl-NL"/>
        </w:rPr>
        <w:t>“a) Trong thời hạn mười (10) ngày kể từ ngày kết thúc tháng đối với các báo cáo tháng;”</w:t>
      </w:r>
    </w:p>
    <w:p w:rsidR="00E90A5A" w:rsidRPr="00E90A5A" w:rsidRDefault="00E90A5A" w:rsidP="00E90A5A">
      <w:pPr>
        <w:pStyle w:val="Heading2"/>
        <w:keepNext w:val="0"/>
        <w:widowControl w:val="0"/>
        <w:numPr>
          <w:ilvl w:val="0"/>
          <w:numId w:val="0"/>
        </w:numPr>
        <w:spacing w:before="80" w:after="80"/>
        <w:ind w:firstLine="720"/>
        <w:jc w:val="both"/>
        <w:rPr>
          <w:rFonts w:ascii="Times New Roman" w:hAnsi="Times New Roman"/>
          <w:i w:val="0"/>
          <w:szCs w:val="28"/>
          <w:lang w:val="nl-NL"/>
        </w:rPr>
      </w:pPr>
      <w:r w:rsidRPr="00E90A5A">
        <w:rPr>
          <w:rFonts w:ascii="Times New Roman" w:hAnsi="Times New Roman"/>
          <w:b/>
          <w:i w:val="0"/>
          <w:szCs w:val="28"/>
          <w:lang w:val="nl-NL"/>
        </w:rPr>
        <w:t xml:space="preserve">Điều 2. </w:t>
      </w:r>
      <w:r w:rsidRPr="00E90A5A">
        <w:rPr>
          <w:rFonts w:ascii="Times New Roman" w:hAnsi="Times New Roman"/>
          <w:i w:val="0"/>
          <w:szCs w:val="28"/>
          <w:lang w:val="nl-NL"/>
        </w:rPr>
        <w:t xml:space="preserve">Bãi bỏ điểm b khoản 1 Điều 28. </w:t>
      </w:r>
    </w:p>
    <w:p w:rsidR="00E90A5A" w:rsidRPr="00E90A5A" w:rsidRDefault="00E90A5A" w:rsidP="00E90A5A">
      <w:pPr>
        <w:spacing w:before="80" w:after="80"/>
        <w:rPr>
          <w:rFonts w:ascii="Times New Roman" w:hAnsi="Times New Roman"/>
          <w:b/>
          <w:iCs/>
          <w:szCs w:val="28"/>
          <w:lang w:val="nl-NL"/>
        </w:rPr>
      </w:pPr>
      <w:r w:rsidRPr="00E90A5A">
        <w:rPr>
          <w:rFonts w:ascii="Times New Roman" w:hAnsi="Times New Roman"/>
          <w:b/>
          <w:iCs/>
          <w:szCs w:val="28"/>
          <w:lang w:val="nl-NL"/>
        </w:rPr>
        <w:tab/>
        <w:t xml:space="preserve">Điều 3. </w:t>
      </w:r>
      <w:r w:rsidR="00AE1AB8" w:rsidRPr="00E90A5A">
        <w:rPr>
          <w:rFonts w:ascii="Times New Roman" w:hAnsi="Times New Roman"/>
          <w:szCs w:val="28"/>
          <w:lang w:val="nl-NL"/>
        </w:rPr>
        <w:t>Điều khoản thi hành</w:t>
      </w:r>
    </w:p>
    <w:p w:rsidR="00AE1AB8" w:rsidRDefault="00AE1AB8" w:rsidP="00AE1AB8">
      <w:pPr>
        <w:pStyle w:val="ListParagraph"/>
        <w:widowControl w:val="0"/>
        <w:autoSpaceDE w:val="0"/>
        <w:autoSpaceDN w:val="0"/>
        <w:adjustRightInd w:val="0"/>
        <w:spacing w:before="80" w:after="80"/>
        <w:ind w:left="0" w:firstLine="720"/>
        <w:contextualSpacing w:val="0"/>
        <w:jc w:val="both"/>
        <w:rPr>
          <w:rFonts w:ascii="Times New Roman" w:hAnsi="Times New Roman"/>
          <w:szCs w:val="28"/>
          <w:lang w:val="nl-NL"/>
        </w:rPr>
      </w:pPr>
      <w:r w:rsidRPr="00E90A5A">
        <w:rPr>
          <w:rFonts w:ascii="Times New Roman" w:hAnsi="Times New Roman"/>
          <w:szCs w:val="28"/>
          <w:lang w:val="nl-NL"/>
        </w:rPr>
        <w:t xml:space="preserve">1. Thông tư này có hiệu lực </w:t>
      </w:r>
      <w:r>
        <w:rPr>
          <w:rFonts w:ascii="Times New Roman" w:hAnsi="Times New Roman"/>
          <w:szCs w:val="28"/>
          <w:lang w:val="nl-NL"/>
        </w:rPr>
        <w:t xml:space="preserve">kể từ ngày </w:t>
      </w:r>
      <w:r w:rsidR="00E93039">
        <w:rPr>
          <w:rFonts w:ascii="Times New Roman" w:hAnsi="Times New Roman"/>
          <w:szCs w:val="28"/>
          <w:lang w:val="nl-NL"/>
        </w:rPr>
        <w:t>01</w:t>
      </w:r>
      <w:r w:rsidR="0071045B">
        <w:rPr>
          <w:rFonts w:ascii="Times New Roman" w:hAnsi="Times New Roman"/>
          <w:szCs w:val="28"/>
          <w:lang w:val="nl-NL"/>
        </w:rPr>
        <w:t xml:space="preserve"> tháng </w:t>
      </w:r>
      <w:r w:rsidR="00E93039">
        <w:rPr>
          <w:rFonts w:ascii="Times New Roman" w:hAnsi="Times New Roman"/>
          <w:szCs w:val="28"/>
          <w:lang w:val="nl-NL"/>
        </w:rPr>
        <w:t>5</w:t>
      </w:r>
      <w:r w:rsidR="0071045B">
        <w:rPr>
          <w:rFonts w:ascii="Times New Roman" w:hAnsi="Times New Roman"/>
          <w:szCs w:val="28"/>
          <w:lang w:val="nl-NL"/>
        </w:rPr>
        <w:t xml:space="preserve"> năm 2017</w:t>
      </w:r>
      <w:r w:rsidRPr="00E90A5A">
        <w:rPr>
          <w:rFonts w:ascii="Times New Roman" w:hAnsi="Times New Roman"/>
          <w:szCs w:val="28"/>
          <w:lang w:val="nl-NL"/>
        </w:rPr>
        <w:t>.</w:t>
      </w:r>
    </w:p>
    <w:p w:rsidR="00E90A5A" w:rsidRDefault="00AE1AB8" w:rsidP="00AE1AB8">
      <w:pPr>
        <w:pStyle w:val="ListParagraph"/>
        <w:widowControl w:val="0"/>
        <w:autoSpaceDE w:val="0"/>
        <w:autoSpaceDN w:val="0"/>
        <w:adjustRightInd w:val="0"/>
        <w:spacing w:before="80" w:after="80"/>
        <w:ind w:left="0" w:firstLine="720"/>
        <w:contextualSpacing w:val="0"/>
        <w:jc w:val="both"/>
        <w:rPr>
          <w:rFonts w:ascii="Times New Roman" w:hAnsi="Times New Roman"/>
          <w:iCs/>
          <w:szCs w:val="28"/>
          <w:lang w:val="nl-NL"/>
        </w:rPr>
      </w:pPr>
      <w:r w:rsidRPr="00E90A5A">
        <w:rPr>
          <w:rFonts w:ascii="Times New Roman" w:hAnsi="Times New Roman"/>
          <w:szCs w:val="28"/>
          <w:lang w:val="nl-NL"/>
        </w:rPr>
        <w:t xml:space="preserve">2. </w:t>
      </w:r>
      <w:r w:rsidR="00E90A5A" w:rsidRPr="00E90A5A">
        <w:rPr>
          <w:rFonts w:ascii="Times New Roman" w:hAnsi="Times New Roman"/>
          <w:iCs/>
          <w:szCs w:val="28"/>
          <w:lang w:val="nl-NL"/>
        </w:rPr>
        <w:t xml:space="preserve">Ủy ban Chứng khoán Nhà nước, Sở giao dịch chứng khoán, </w:t>
      </w:r>
      <w:r w:rsidR="0095677D">
        <w:rPr>
          <w:rFonts w:ascii="Times New Roman" w:hAnsi="Times New Roman"/>
          <w:iCs/>
          <w:szCs w:val="28"/>
          <w:lang w:val="nl-NL"/>
        </w:rPr>
        <w:t>Trung tâm lưu ký chứng khoán Việt Nam</w:t>
      </w:r>
      <w:r w:rsidR="00E90A5A" w:rsidRPr="00E90A5A">
        <w:rPr>
          <w:rFonts w:ascii="Times New Roman" w:hAnsi="Times New Roman"/>
          <w:iCs/>
          <w:szCs w:val="28"/>
          <w:lang w:val="nl-NL"/>
        </w:rPr>
        <w:t>, tổ chức kinh doanh dịch vụ chứng khoán phái sinh, thành viên giao dịch, thành viên bù trừ và các tổ chức, cá nhân có liên quan đến hoạt động đầu tư, kinh doanh chứng khoán phái sinh và thị trường chứng khoán phái sinh tại Việt Nam có trách nhiệm tổ chức thực hiện Thông tư này.</w:t>
      </w:r>
      <w:r>
        <w:rPr>
          <w:rFonts w:ascii="Times New Roman" w:hAnsi="Times New Roman"/>
          <w:iCs/>
          <w:szCs w:val="28"/>
          <w:lang w:val="nl-NL"/>
        </w:rPr>
        <w:t xml:space="preserve"> </w:t>
      </w:r>
    </w:p>
    <w:p w:rsidR="00300EAF" w:rsidRDefault="00300EAF" w:rsidP="00B172A7">
      <w:pPr>
        <w:pStyle w:val="ListParagraph"/>
        <w:widowControl w:val="0"/>
        <w:autoSpaceDE w:val="0"/>
        <w:autoSpaceDN w:val="0"/>
        <w:adjustRightInd w:val="0"/>
        <w:spacing w:before="80" w:after="80"/>
        <w:ind w:left="0" w:firstLine="720"/>
        <w:contextualSpacing w:val="0"/>
        <w:jc w:val="both"/>
        <w:rPr>
          <w:rFonts w:ascii="Times New Roman" w:hAnsi="Times New Roman"/>
          <w:szCs w:val="28"/>
          <w:lang w:val="nl-NL"/>
        </w:rPr>
      </w:pPr>
    </w:p>
    <w:p w:rsidR="00E90A5A" w:rsidRPr="00AE1AB8" w:rsidRDefault="00AE1AB8" w:rsidP="00B172A7">
      <w:pPr>
        <w:pStyle w:val="ListParagraph"/>
        <w:widowControl w:val="0"/>
        <w:autoSpaceDE w:val="0"/>
        <w:autoSpaceDN w:val="0"/>
        <w:adjustRightInd w:val="0"/>
        <w:spacing w:before="80" w:after="80"/>
        <w:ind w:left="0" w:firstLine="720"/>
        <w:contextualSpacing w:val="0"/>
        <w:jc w:val="both"/>
        <w:rPr>
          <w:rFonts w:ascii="Times New Roman" w:hAnsi="Times New Roman"/>
          <w:szCs w:val="28"/>
          <w:lang w:val="nl-NL"/>
        </w:rPr>
      </w:pPr>
      <w:r>
        <w:rPr>
          <w:rFonts w:ascii="Times New Roman" w:hAnsi="Times New Roman"/>
          <w:szCs w:val="28"/>
          <w:lang w:val="nl-NL"/>
        </w:rPr>
        <w:lastRenderedPageBreak/>
        <w:t xml:space="preserve">3. </w:t>
      </w:r>
      <w:r w:rsidRPr="00E90A5A">
        <w:rPr>
          <w:rFonts w:ascii="Times New Roman" w:hAnsi="Times New Roman"/>
          <w:szCs w:val="28"/>
          <w:lang w:val="nl-NL"/>
        </w:rPr>
        <w:t>Việc sửa đổi, bổ sung</w:t>
      </w:r>
      <w:r w:rsidR="00B172A7">
        <w:rPr>
          <w:rFonts w:ascii="Times New Roman" w:hAnsi="Times New Roman"/>
          <w:szCs w:val="28"/>
          <w:lang w:val="nl-NL"/>
        </w:rPr>
        <w:t>, thay thế</w:t>
      </w:r>
      <w:r w:rsidRPr="00E90A5A">
        <w:rPr>
          <w:rFonts w:ascii="Times New Roman" w:hAnsi="Times New Roman"/>
          <w:szCs w:val="28"/>
          <w:lang w:val="nl-NL"/>
        </w:rPr>
        <w:t xml:space="preserve"> Thông tư này do Bộ trưởng Bộ Tài chính quyết</w:t>
      </w:r>
      <w:r w:rsidR="00B172A7">
        <w:rPr>
          <w:rFonts w:ascii="Times New Roman" w:hAnsi="Times New Roman"/>
          <w:szCs w:val="28"/>
          <w:lang w:val="nl-NL"/>
        </w:rPr>
        <w:t xml:space="preserve"> </w:t>
      </w:r>
      <w:r w:rsidR="00E90A5A" w:rsidRPr="00AE1AB8">
        <w:rPr>
          <w:rFonts w:ascii="Times New Roman" w:hAnsi="Times New Roman" w:cs="Arial"/>
          <w:szCs w:val="28"/>
          <w:lang w:val="nl-NL"/>
        </w:rPr>
        <w:t>đị</w:t>
      </w:r>
      <w:r w:rsidR="00E90A5A" w:rsidRPr="00AE1AB8">
        <w:rPr>
          <w:rFonts w:ascii="Times New Roman" w:hAnsi="Times New Roman" w:cs=".VnTime"/>
          <w:szCs w:val="28"/>
          <w:lang w:val="nl-NL"/>
        </w:rPr>
        <w:t>nh./.</w:t>
      </w:r>
    </w:p>
    <w:p w:rsidR="00E90A5A" w:rsidRPr="00E90A5A" w:rsidRDefault="00E90A5A" w:rsidP="00E90A5A">
      <w:pPr>
        <w:pStyle w:val="ListParagraph"/>
        <w:widowControl w:val="0"/>
        <w:autoSpaceDE w:val="0"/>
        <w:autoSpaceDN w:val="0"/>
        <w:adjustRightInd w:val="0"/>
        <w:spacing w:before="160" w:after="160"/>
        <w:ind w:left="0" w:firstLine="851"/>
        <w:contextualSpacing w:val="0"/>
        <w:jc w:val="both"/>
        <w:rPr>
          <w:rFonts w:ascii="Times New Roman" w:hAnsi="Times New Roman"/>
          <w:szCs w:val="28"/>
          <w:lang w:val="nl-NL"/>
        </w:rPr>
      </w:pPr>
    </w:p>
    <w:tbl>
      <w:tblPr>
        <w:tblW w:w="9000" w:type="dxa"/>
        <w:tblLayout w:type="fixed"/>
        <w:tblLook w:val="04A0"/>
      </w:tblPr>
      <w:tblGrid>
        <w:gridCol w:w="5490"/>
        <w:gridCol w:w="3510"/>
      </w:tblGrid>
      <w:tr w:rsidR="00E90A5A" w:rsidRPr="00E90A5A" w:rsidTr="008D388E">
        <w:tc>
          <w:tcPr>
            <w:tcW w:w="5490" w:type="dxa"/>
          </w:tcPr>
          <w:p w:rsidR="00E90A5A" w:rsidRPr="00E90A5A" w:rsidRDefault="00E90A5A" w:rsidP="008D388E">
            <w:pPr>
              <w:jc w:val="both"/>
              <w:rPr>
                <w:rFonts w:ascii="Times New Roman" w:hAnsi="Times New Roman"/>
                <w:b/>
                <w:i/>
                <w:iCs/>
                <w:sz w:val="24"/>
              </w:rPr>
            </w:pPr>
            <w:r w:rsidRPr="00E90A5A">
              <w:rPr>
                <w:rFonts w:ascii="Times New Roman" w:hAnsi="Times New Roman"/>
                <w:b/>
                <w:i/>
                <w:iCs/>
                <w:sz w:val="24"/>
              </w:rPr>
              <w:t>Nơi nhận:</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Thủ tướng, các Phó Thủ tướng Chính phủ;</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Văn phòng Quốc hội;</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Văn phòng Tổng Bí thư;</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Văn phòng Chủ tịch nước;</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Văn phòng TƯ và các ban của Đảng;</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Văn phòng Ban chỉ đạo TƯ về phòng chống tham nhũng;</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Các Bộ, cơ quan ngang Bộ; cơ quan thuộc Chính phủ;</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Toà án Nhân dân tối cao;</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Viện Kiểm sát Nhân dân tối cao;</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Kiểm toán Nhà nước;</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UBND, HĐND các tỉnh, thành phố trực thuộc TƯ;</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Công báo;</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Website Chính phủ;</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Cục Kiểm tra văn bản -Bộ Tư pháp;</w:t>
            </w:r>
          </w:p>
          <w:p w:rsidR="00E90A5A" w:rsidRPr="0005208D" w:rsidRDefault="00E90A5A" w:rsidP="008D388E">
            <w:pPr>
              <w:pStyle w:val="ListParagraph"/>
              <w:numPr>
                <w:ilvl w:val="0"/>
                <w:numId w:val="2"/>
              </w:numPr>
              <w:ind w:left="180" w:hanging="180"/>
              <w:jc w:val="both"/>
              <w:rPr>
                <w:rFonts w:ascii="Times New Roman" w:hAnsi="Times New Roman"/>
                <w:sz w:val="22"/>
              </w:rPr>
            </w:pPr>
            <w:r w:rsidRPr="0005208D">
              <w:rPr>
                <w:rFonts w:ascii="Times New Roman" w:hAnsi="Times New Roman"/>
                <w:sz w:val="22"/>
                <w:szCs w:val="22"/>
              </w:rPr>
              <w:t>Các đơn vị thuộc Bộ Tài chính, Website Bộ Tài chính;</w:t>
            </w:r>
          </w:p>
          <w:p w:rsidR="00E90A5A" w:rsidRPr="00E90A5A" w:rsidRDefault="00E90A5A" w:rsidP="008D388E">
            <w:pPr>
              <w:pStyle w:val="ListParagraph"/>
              <w:numPr>
                <w:ilvl w:val="0"/>
                <w:numId w:val="2"/>
              </w:numPr>
              <w:autoSpaceDE w:val="0"/>
              <w:autoSpaceDN w:val="0"/>
              <w:adjustRightInd w:val="0"/>
              <w:ind w:left="180" w:hanging="180"/>
              <w:jc w:val="both"/>
              <w:rPr>
                <w:rFonts w:ascii="Times New Roman" w:hAnsi="Times New Roman"/>
                <w:szCs w:val="28"/>
                <w:lang w:val="nl-NL"/>
              </w:rPr>
            </w:pPr>
            <w:r w:rsidRPr="0005208D">
              <w:rPr>
                <w:rFonts w:ascii="Times New Roman" w:hAnsi="Times New Roman"/>
                <w:sz w:val="22"/>
                <w:szCs w:val="22"/>
              </w:rPr>
              <w:t>Lưu: VT, UBCK (300b).</w:t>
            </w:r>
          </w:p>
        </w:tc>
        <w:tc>
          <w:tcPr>
            <w:tcW w:w="3510" w:type="dxa"/>
          </w:tcPr>
          <w:p w:rsidR="00E90A5A" w:rsidRPr="00E90A5A" w:rsidRDefault="00E90A5A" w:rsidP="008D388E">
            <w:pPr>
              <w:autoSpaceDE w:val="0"/>
              <w:autoSpaceDN w:val="0"/>
              <w:adjustRightInd w:val="0"/>
              <w:jc w:val="center"/>
              <w:rPr>
                <w:rFonts w:ascii="Times New Roman" w:hAnsi="Times New Roman"/>
                <w:b/>
                <w:bCs/>
                <w:szCs w:val="28"/>
                <w:lang w:val="nl-NL"/>
              </w:rPr>
            </w:pPr>
            <w:r w:rsidRPr="00E90A5A">
              <w:rPr>
                <w:rFonts w:ascii="Times New Roman" w:hAnsi="Times New Roman"/>
                <w:b/>
                <w:bCs/>
                <w:szCs w:val="28"/>
                <w:lang w:val="nl-NL"/>
              </w:rPr>
              <w:t>KT.BỘ TRƯỞNG</w:t>
            </w:r>
          </w:p>
          <w:p w:rsidR="00E90A5A" w:rsidRPr="00E90A5A" w:rsidRDefault="00E90A5A" w:rsidP="008D388E">
            <w:pPr>
              <w:autoSpaceDE w:val="0"/>
              <w:autoSpaceDN w:val="0"/>
              <w:adjustRightInd w:val="0"/>
              <w:jc w:val="center"/>
              <w:rPr>
                <w:rFonts w:ascii="Times New Roman" w:hAnsi="Times New Roman"/>
                <w:b/>
                <w:bCs/>
                <w:szCs w:val="28"/>
                <w:lang w:val="nl-NL"/>
              </w:rPr>
            </w:pPr>
            <w:r w:rsidRPr="00E90A5A">
              <w:rPr>
                <w:rFonts w:ascii="Times New Roman" w:hAnsi="Times New Roman"/>
                <w:b/>
                <w:bCs/>
                <w:szCs w:val="28"/>
                <w:lang w:val="nl-NL"/>
              </w:rPr>
              <w:t>THỨ TRƯỞNG</w:t>
            </w:r>
          </w:p>
          <w:p w:rsidR="00E90A5A" w:rsidRPr="00E90A5A" w:rsidRDefault="00E90A5A" w:rsidP="008D388E">
            <w:pPr>
              <w:autoSpaceDE w:val="0"/>
              <w:autoSpaceDN w:val="0"/>
              <w:adjustRightInd w:val="0"/>
              <w:jc w:val="center"/>
              <w:rPr>
                <w:rFonts w:ascii="Times New Roman" w:hAnsi="Times New Roman"/>
                <w:b/>
                <w:bCs/>
                <w:szCs w:val="28"/>
                <w:lang w:val="nl-NL"/>
              </w:rPr>
            </w:pPr>
          </w:p>
          <w:p w:rsidR="00E90A5A" w:rsidRPr="00E90A5A" w:rsidRDefault="00E90A5A" w:rsidP="008D388E">
            <w:pPr>
              <w:autoSpaceDE w:val="0"/>
              <w:autoSpaceDN w:val="0"/>
              <w:adjustRightInd w:val="0"/>
              <w:jc w:val="center"/>
              <w:rPr>
                <w:rFonts w:ascii="Times New Roman" w:hAnsi="Times New Roman"/>
                <w:b/>
                <w:bCs/>
                <w:szCs w:val="28"/>
                <w:lang w:val="nl-NL"/>
              </w:rPr>
            </w:pPr>
          </w:p>
          <w:p w:rsidR="00E90A5A" w:rsidRPr="00E90A5A" w:rsidRDefault="00E90A5A" w:rsidP="008D388E">
            <w:pPr>
              <w:autoSpaceDE w:val="0"/>
              <w:autoSpaceDN w:val="0"/>
              <w:adjustRightInd w:val="0"/>
              <w:ind w:firstLine="4320"/>
              <w:jc w:val="center"/>
              <w:rPr>
                <w:rFonts w:ascii="Times New Roman" w:hAnsi="Times New Roman"/>
                <w:b/>
                <w:bCs/>
                <w:szCs w:val="28"/>
                <w:lang w:val="nl-NL"/>
              </w:rPr>
            </w:pPr>
          </w:p>
          <w:p w:rsidR="000B3D8B" w:rsidRPr="000B3D8B" w:rsidRDefault="000B3D8B" w:rsidP="000B3D8B">
            <w:pPr>
              <w:autoSpaceDE w:val="0"/>
              <w:autoSpaceDN w:val="0"/>
              <w:adjustRightInd w:val="0"/>
              <w:rPr>
                <w:rFonts w:ascii="Times New Roman" w:hAnsi="Times New Roman"/>
                <w:bCs/>
                <w:i/>
                <w:szCs w:val="28"/>
                <w:lang w:val="nl-NL"/>
              </w:rPr>
            </w:pPr>
            <w:r w:rsidRPr="000B3D8B">
              <w:rPr>
                <w:rFonts w:ascii="Times New Roman" w:hAnsi="Times New Roman"/>
                <w:bCs/>
                <w:i/>
                <w:szCs w:val="28"/>
                <w:lang w:val="nl-NL"/>
              </w:rPr>
              <w:t xml:space="preserve">                    (đã ký)</w:t>
            </w:r>
          </w:p>
          <w:p w:rsidR="00E90A5A" w:rsidRPr="00E90A5A" w:rsidRDefault="00E90A5A" w:rsidP="008D388E">
            <w:pPr>
              <w:autoSpaceDE w:val="0"/>
              <w:autoSpaceDN w:val="0"/>
              <w:adjustRightInd w:val="0"/>
              <w:ind w:firstLine="4320"/>
              <w:jc w:val="center"/>
              <w:rPr>
                <w:rFonts w:ascii="Times New Roman" w:hAnsi="Times New Roman"/>
                <w:b/>
                <w:bCs/>
                <w:szCs w:val="28"/>
                <w:lang w:val="nl-NL"/>
              </w:rPr>
            </w:pPr>
          </w:p>
          <w:p w:rsidR="00E90A5A" w:rsidRPr="00E90A5A" w:rsidRDefault="00E90A5A" w:rsidP="008D388E">
            <w:pPr>
              <w:autoSpaceDE w:val="0"/>
              <w:autoSpaceDN w:val="0"/>
              <w:adjustRightInd w:val="0"/>
              <w:ind w:firstLine="4320"/>
              <w:jc w:val="center"/>
              <w:rPr>
                <w:rFonts w:ascii="Times New Roman" w:hAnsi="Times New Roman"/>
                <w:b/>
                <w:bCs/>
                <w:szCs w:val="28"/>
                <w:lang w:val="nl-NL"/>
              </w:rPr>
            </w:pPr>
          </w:p>
          <w:p w:rsidR="00E90A5A" w:rsidRPr="00E90A5A" w:rsidRDefault="00E90A5A" w:rsidP="008D388E">
            <w:pPr>
              <w:autoSpaceDE w:val="0"/>
              <w:autoSpaceDN w:val="0"/>
              <w:adjustRightInd w:val="0"/>
              <w:jc w:val="center"/>
              <w:rPr>
                <w:rFonts w:ascii="Times New Roman" w:hAnsi="Times New Roman"/>
                <w:b/>
                <w:bCs/>
                <w:szCs w:val="28"/>
                <w:lang w:val="nl-NL"/>
              </w:rPr>
            </w:pPr>
            <w:r w:rsidRPr="00E90A5A">
              <w:rPr>
                <w:rFonts w:ascii="Times New Roman" w:hAnsi="Times New Roman"/>
                <w:b/>
                <w:bCs/>
                <w:szCs w:val="28"/>
                <w:lang w:val="nl-NL"/>
              </w:rPr>
              <w:t>Trần Xuân Hà</w:t>
            </w:r>
          </w:p>
          <w:p w:rsidR="00E90A5A" w:rsidRPr="00E90A5A" w:rsidRDefault="00E90A5A" w:rsidP="008D388E">
            <w:pPr>
              <w:autoSpaceDE w:val="0"/>
              <w:autoSpaceDN w:val="0"/>
              <w:adjustRightInd w:val="0"/>
              <w:jc w:val="both"/>
              <w:rPr>
                <w:rFonts w:ascii="Times New Roman" w:hAnsi="Times New Roman"/>
                <w:szCs w:val="28"/>
                <w:lang w:val="nl-NL"/>
              </w:rPr>
            </w:pPr>
          </w:p>
        </w:tc>
      </w:tr>
    </w:tbl>
    <w:p w:rsidR="00E90A5A" w:rsidRPr="00E90A5A" w:rsidRDefault="00E90A5A" w:rsidP="00E90A5A">
      <w:pPr>
        <w:rPr>
          <w:szCs w:val="28"/>
        </w:rPr>
      </w:pPr>
    </w:p>
    <w:p w:rsidR="00E90A5A" w:rsidRPr="00E90A5A" w:rsidRDefault="00E90A5A" w:rsidP="00E90A5A">
      <w:pPr>
        <w:rPr>
          <w:szCs w:val="28"/>
        </w:rPr>
      </w:pPr>
    </w:p>
    <w:p w:rsidR="00CD5C06" w:rsidRPr="00E90A5A" w:rsidRDefault="00CD5C06"/>
    <w:sectPr w:rsidR="00CD5C06" w:rsidRPr="00E90A5A" w:rsidSect="00300EAF">
      <w:footerReference w:type="default" r:id="rId7"/>
      <w:pgSz w:w="11909" w:h="16834" w:code="9"/>
      <w:pgMar w:top="1418" w:right="1136" w:bottom="1276" w:left="1560" w:header="0" w:footer="198"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96" w:rsidRDefault="00DB6596" w:rsidP="00315406">
      <w:r>
        <w:separator/>
      </w:r>
    </w:p>
  </w:endnote>
  <w:endnote w:type="continuationSeparator" w:id="0">
    <w:p w:rsidR="00DB6596" w:rsidRDefault="00DB6596" w:rsidP="00315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8675"/>
      <w:docPartObj>
        <w:docPartGallery w:val="Page Numbers (Bottom of Page)"/>
        <w:docPartUnique/>
      </w:docPartObj>
    </w:sdtPr>
    <w:sdtContent>
      <w:p w:rsidR="00A62084" w:rsidRDefault="0045403D">
        <w:pPr>
          <w:pStyle w:val="Footer"/>
          <w:jc w:val="right"/>
        </w:pPr>
        <w:r>
          <w:fldChar w:fldCharType="begin"/>
        </w:r>
        <w:r w:rsidR="00403947">
          <w:instrText xml:space="preserve"> PAGE   \* MERGEFORMAT </w:instrText>
        </w:r>
        <w:r>
          <w:fldChar w:fldCharType="separate"/>
        </w:r>
        <w:r w:rsidR="00E93039">
          <w:rPr>
            <w:noProof/>
          </w:rPr>
          <w:t>4</w:t>
        </w:r>
        <w:r>
          <w:rPr>
            <w:noProof/>
          </w:rPr>
          <w:fldChar w:fldCharType="end"/>
        </w:r>
      </w:p>
    </w:sdtContent>
  </w:sdt>
  <w:p w:rsidR="00A62084" w:rsidRDefault="00DB6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96" w:rsidRDefault="00DB6596" w:rsidP="00315406">
      <w:r>
        <w:separator/>
      </w:r>
    </w:p>
  </w:footnote>
  <w:footnote w:type="continuationSeparator" w:id="0">
    <w:p w:rsidR="00DB6596" w:rsidRDefault="00DB6596" w:rsidP="00315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5C4"/>
    <w:multiLevelType w:val="multilevel"/>
    <w:tmpl w:val="D1CAB392"/>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color w:val="FFFFFF"/>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53495B39"/>
    <w:multiLevelType w:val="hybridMultilevel"/>
    <w:tmpl w:val="68EA4290"/>
    <w:lvl w:ilvl="0" w:tplc="A1F4ADA0">
      <w:start w:val="1"/>
      <w:numFmt w:val="lowerLetter"/>
      <w:lvlText w:val="%1."/>
      <w:lvlJc w:val="left"/>
      <w:pPr>
        <w:ind w:left="1695" w:hanging="9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B0C329D"/>
    <w:multiLevelType w:val="hybridMultilevel"/>
    <w:tmpl w:val="D542FF58"/>
    <w:lvl w:ilvl="0" w:tplc="8AE276CA">
      <w:start w:val="1"/>
      <w:numFmt w:val="bullet"/>
      <w:lvlText w:val="-"/>
      <w:lvlJc w:val="left"/>
      <w:pPr>
        <w:ind w:left="720" w:hanging="360"/>
      </w:pPr>
      <w:rPr>
        <w:rFonts w:ascii="Times New Roman" w:eastAsia="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E90A5A"/>
    <w:rsid w:val="0005208D"/>
    <w:rsid w:val="000B3D8B"/>
    <w:rsid w:val="000F621B"/>
    <w:rsid w:val="00147133"/>
    <w:rsid w:val="00167DE9"/>
    <w:rsid w:val="001A0B5E"/>
    <w:rsid w:val="001A770E"/>
    <w:rsid w:val="00206489"/>
    <w:rsid w:val="003002CC"/>
    <w:rsid w:val="00300EAF"/>
    <w:rsid w:val="00315406"/>
    <w:rsid w:val="00381B83"/>
    <w:rsid w:val="00387773"/>
    <w:rsid w:val="00403947"/>
    <w:rsid w:val="0045403D"/>
    <w:rsid w:val="00550503"/>
    <w:rsid w:val="005719A1"/>
    <w:rsid w:val="00591BB7"/>
    <w:rsid w:val="005A6C98"/>
    <w:rsid w:val="006E7140"/>
    <w:rsid w:val="006F397F"/>
    <w:rsid w:val="0071045B"/>
    <w:rsid w:val="007D7C18"/>
    <w:rsid w:val="00873761"/>
    <w:rsid w:val="00887863"/>
    <w:rsid w:val="0095677D"/>
    <w:rsid w:val="00964860"/>
    <w:rsid w:val="00974AE7"/>
    <w:rsid w:val="009C510D"/>
    <w:rsid w:val="00AC7F36"/>
    <w:rsid w:val="00AE1AB8"/>
    <w:rsid w:val="00AE368F"/>
    <w:rsid w:val="00B172A7"/>
    <w:rsid w:val="00BA112E"/>
    <w:rsid w:val="00BE3F61"/>
    <w:rsid w:val="00C50B37"/>
    <w:rsid w:val="00CD5C06"/>
    <w:rsid w:val="00D13E6D"/>
    <w:rsid w:val="00D401A7"/>
    <w:rsid w:val="00D4748A"/>
    <w:rsid w:val="00D86A50"/>
    <w:rsid w:val="00DB6596"/>
    <w:rsid w:val="00DC7BD4"/>
    <w:rsid w:val="00E05F76"/>
    <w:rsid w:val="00E50CD6"/>
    <w:rsid w:val="00E756E8"/>
    <w:rsid w:val="00E90A5A"/>
    <w:rsid w:val="00E93039"/>
    <w:rsid w:val="00F62823"/>
    <w:rsid w:val="00FD71FE"/>
    <w:rsid w:val="00FD7D7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A5A"/>
    <w:pPr>
      <w:spacing w:before="0" w:beforeAutospacing="0" w:after="0" w:afterAutospacing="0"/>
    </w:pPr>
    <w:rPr>
      <w:rFonts w:ascii=".VnTime" w:eastAsia="Times New Roman" w:hAnsi=".VnTime" w:cs="Times New Roman"/>
      <w:sz w:val="28"/>
      <w:szCs w:val="24"/>
      <w:lang w:val="en-US"/>
    </w:rPr>
  </w:style>
  <w:style w:type="paragraph" w:styleId="Heading1">
    <w:name w:val="heading 1"/>
    <w:basedOn w:val="Normal"/>
    <w:next w:val="Normal"/>
    <w:link w:val="Heading1Char"/>
    <w:qFormat/>
    <w:rsid w:val="00E90A5A"/>
    <w:pPr>
      <w:keepNext/>
      <w:spacing w:before="120" w:after="120" w:line="360" w:lineRule="auto"/>
      <w:outlineLvl w:val="0"/>
    </w:pPr>
    <w:rPr>
      <w:rFonts w:ascii="Times New Roman" w:hAnsi="Times New Roman"/>
      <w:b/>
      <w:snapToGrid w:val="0"/>
      <w:szCs w:val="20"/>
    </w:rPr>
  </w:style>
  <w:style w:type="paragraph" w:styleId="Heading2">
    <w:name w:val="heading 2"/>
    <w:basedOn w:val="Normal"/>
    <w:next w:val="Normal"/>
    <w:link w:val="Heading2Char"/>
    <w:qFormat/>
    <w:rsid w:val="00E90A5A"/>
    <w:pPr>
      <w:keepNext/>
      <w:numPr>
        <w:ilvl w:val="1"/>
        <w:numId w:val="1"/>
      </w:numPr>
      <w:spacing w:before="120"/>
      <w:jc w:val="center"/>
      <w:outlineLvl w:val="1"/>
    </w:pPr>
    <w:rPr>
      <w:i/>
      <w:iCs/>
    </w:rPr>
  </w:style>
  <w:style w:type="paragraph" w:styleId="Heading3">
    <w:name w:val="heading 3"/>
    <w:basedOn w:val="Normal"/>
    <w:next w:val="Normal"/>
    <w:link w:val="Heading3Char"/>
    <w:qFormat/>
    <w:rsid w:val="00E90A5A"/>
    <w:pPr>
      <w:keepNext/>
      <w:numPr>
        <w:ilvl w:val="2"/>
        <w:numId w:val="1"/>
      </w:numPr>
      <w:spacing w:before="120" w:after="120" w:line="312" w:lineRule="auto"/>
      <w:jc w:val="center"/>
      <w:outlineLvl w:val="2"/>
    </w:pPr>
    <w:rPr>
      <w:rFonts w:ascii=".VnTimeH" w:hAnsi=".VnTimeH"/>
      <w:b/>
      <w:sz w:val="26"/>
    </w:rPr>
  </w:style>
  <w:style w:type="paragraph" w:styleId="Heading4">
    <w:name w:val="heading 4"/>
    <w:basedOn w:val="Normal"/>
    <w:next w:val="Normal"/>
    <w:link w:val="Heading4Char"/>
    <w:qFormat/>
    <w:rsid w:val="00E90A5A"/>
    <w:pPr>
      <w:keepNext/>
      <w:numPr>
        <w:ilvl w:val="3"/>
        <w:numId w:val="1"/>
      </w:numPr>
      <w:spacing w:line="360" w:lineRule="auto"/>
      <w:outlineLvl w:val="3"/>
    </w:pPr>
    <w:rPr>
      <w:rFonts w:ascii=".VnArial" w:hAnsi=".VnArial"/>
      <w:i/>
      <w:iCs/>
      <w:sz w:val="24"/>
    </w:rPr>
  </w:style>
  <w:style w:type="paragraph" w:styleId="Heading5">
    <w:name w:val="heading 5"/>
    <w:basedOn w:val="Normal"/>
    <w:next w:val="Normal"/>
    <w:link w:val="Heading5Char"/>
    <w:qFormat/>
    <w:rsid w:val="00E90A5A"/>
    <w:pPr>
      <w:keepNext/>
      <w:numPr>
        <w:ilvl w:val="4"/>
        <w:numId w:val="1"/>
      </w:numPr>
      <w:jc w:val="center"/>
      <w:outlineLvl w:val="4"/>
    </w:pPr>
    <w:rPr>
      <w:rFonts w:ascii=".VnTimeH" w:hAnsi=".VnTimeH"/>
      <w:b/>
      <w:bCs/>
    </w:rPr>
  </w:style>
  <w:style w:type="paragraph" w:styleId="Heading6">
    <w:name w:val="heading 6"/>
    <w:basedOn w:val="Normal"/>
    <w:next w:val="Normal"/>
    <w:link w:val="Heading6Char"/>
    <w:qFormat/>
    <w:rsid w:val="00E90A5A"/>
    <w:pPr>
      <w:keepNext/>
      <w:numPr>
        <w:ilvl w:val="5"/>
        <w:numId w:val="1"/>
      </w:numPr>
      <w:jc w:val="center"/>
      <w:outlineLvl w:val="5"/>
    </w:pPr>
    <w:rPr>
      <w:b/>
      <w:snapToGrid w:val="0"/>
      <w:sz w:val="26"/>
      <w:szCs w:val="20"/>
    </w:rPr>
  </w:style>
  <w:style w:type="paragraph" w:styleId="Heading7">
    <w:name w:val="heading 7"/>
    <w:basedOn w:val="Normal"/>
    <w:next w:val="Normal"/>
    <w:link w:val="Heading7Char"/>
    <w:qFormat/>
    <w:rsid w:val="00E90A5A"/>
    <w:pPr>
      <w:keepNext/>
      <w:numPr>
        <w:ilvl w:val="6"/>
        <w:numId w:val="1"/>
      </w:numPr>
      <w:jc w:val="center"/>
      <w:outlineLvl w:val="6"/>
    </w:pPr>
    <w:rPr>
      <w:i/>
      <w:snapToGrid w:val="0"/>
      <w:sz w:val="26"/>
      <w:szCs w:val="20"/>
    </w:rPr>
  </w:style>
  <w:style w:type="paragraph" w:styleId="Heading8">
    <w:name w:val="heading 8"/>
    <w:basedOn w:val="Normal"/>
    <w:next w:val="Normal"/>
    <w:link w:val="Heading8Char"/>
    <w:qFormat/>
    <w:rsid w:val="00E90A5A"/>
    <w:pPr>
      <w:keepNext/>
      <w:numPr>
        <w:ilvl w:val="7"/>
        <w:numId w:val="1"/>
      </w:numPr>
      <w:jc w:val="center"/>
      <w:outlineLvl w:val="7"/>
    </w:pPr>
    <w:rPr>
      <w:b/>
      <w:snapToGrid w:val="0"/>
      <w:sz w:val="22"/>
      <w:szCs w:val="20"/>
    </w:rPr>
  </w:style>
  <w:style w:type="paragraph" w:styleId="Heading9">
    <w:name w:val="heading 9"/>
    <w:basedOn w:val="Normal"/>
    <w:next w:val="Normal"/>
    <w:link w:val="Heading9Char"/>
    <w:qFormat/>
    <w:rsid w:val="00E90A5A"/>
    <w:pPr>
      <w:keepNext/>
      <w:numPr>
        <w:ilvl w:val="8"/>
        <w:numId w:val="1"/>
      </w:numPr>
      <w:outlineLvl w:val="8"/>
    </w:pPr>
    <w:rPr>
      <w:b/>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A5A"/>
    <w:rPr>
      <w:rFonts w:ascii="Times New Roman" w:eastAsia="Times New Roman" w:hAnsi="Times New Roman" w:cs="Times New Roman"/>
      <w:b/>
      <w:snapToGrid w:val="0"/>
      <w:sz w:val="28"/>
      <w:szCs w:val="20"/>
      <w:lang w:val="en-US"/>
    </w:rPr>
  </w:style>
  <w:style w:type="character" w:customStyle="1" w:styleId="Heading2Char">
    <w:name w:val="Heading 2 Char"/>
    <w:basedOn w:val="DefaultParagraphFont"/>
    <w:link w:val="Heading2"/>
    <w:rsid w:val="00E90A5A"/>
    <w:rPr>
      <w:rFonts w:ascii=".VnTime" w:eastAsia="Times New Roman" w:hAnsi=".VnTime" w:cs="Times New Roman"/>
      <w:i/>
      <w:iCs/>
      <w:sz w:val="28"/>
      <w:szCs w:val="24"/>
      <w:lang w:val="en-US"/>
    </w:rPr>
  </w:style>
  <w:style w:type="character" w:customStyle="1" w:styleId="Heading3Char">
    <w:name w:val="Heading 3 Char"/>
    <w:basedOn w:val="DefaultParagraphFont"/>
    <w:link w:val="Heading3"/>
    <w:rsid w:val="00E90A5A"/>
    <w:rPr>
      <w:rFonts w:ascii=".VnTimeH" w:eastAsia="Times New Roman" w:hAnsi=".VnTimeH" w:cs="Times New Roman"/>
      <w:b/>
      <w:sz w:val="26"/>
      <w:szCs w:val="24"/>
      <w:lang w:val="en-US"/>
    </w:rPr>
  </w:style>
  <w:style w:type="character" w:customStyle="1" w:styleId="Heading4Char">
    <w:name w:val="Heading 4 Char"/>
    <w:basedOn w:val="DefaultParagraphFont"/>
    <w:link w:val="Heading4"/>
    <w:rsid w:val="00E90A5A"/>
    <w:rPr>
      <w:rFonts w:ascii=".VnArial" w:eastAsia="Times New Roman" w:hAnsi=".VnArial" w:cs="Times New Roman"/>
      <w:i/>
      <w:iCs/>
      <w:sz w:val="24"/>
      <w:szCs w:val="24"/>
      <w:lang w:val="en-US"/>
    </w:rPr>
  </w:style>
  <w:style w:type="character" w:customStyle="1" w:styleId="Heading5Char">
    <w:name w:val="Heading 5 Char"/>
    <w:basedOn w:val="DefaultParagraphFont"/>
    <w:link w:val="Heading5"/>
    <w:rsid w:val="00E90A5A"/>
    <w:rPr>
      <w:rFonts w:ascii=".VnTimeH" w:eastAsia="Times New Roman" w:hAnsi=".VnTimeH" w:cs="Times New Roman"/>
      <w:b/>
      <w:bCs/>
      <w:sz w:val="28"/>
      <w:szCs w:val="24"/>
      <w:lang w:val="en-US"/>
    </w:rPr>
  </w:style>
  <w:style w:type="character" w:customStyle="1" w:styleId="Heading6Char">
    <w:name w:val="Heading 6 Char"/>
    <w:basedOn w:val="DefaultParagraphFont"/>
    <w:link w:val="Heading6"/>
    <w:rsid w:val="00E90A5A"/>
    <w:rPr>
      <w:rFonts w:ascii=".VnTime" w:eastAsia="Times New Roman" w:hAnsi=".VnTime" w:cs="Times New Roman"/>
      <w:b/>
      <w:snapToGrid w:val="0"/>
      <w:sz w:val="26"/>
      <w:szCs w:val="20"/>
      <w:lang w:val="en-US"/>
    </w:rPr>
  </w:style>
  <w:style w:type="character" w:customStyle="1" w:styleId="Heading7Char">
    <w:name w:val="Heading 7 Char"/>
    <w:basedOn w:val="DefaultParagraphFont"/>
    <w:link w:val="Heading7"/>
    <w:rsid w:val="00E90A5A"/>
    <w:rPr>
      <w:rFonts w:ascii=".VnTime" w:eastAsia="Times New Roman" w:hAnsi=".VnTime" w:cs="Times New Roman"/>
      <w:i/>
      <w:snapToGrid w:val="0"/>
      <w:sz w:val="26"/>
      <w:szCs w:val="20"/>
      <w:lang w:val="en-US"/>
    </w:rPr>
  </w:style>
  <w:style w:type="character" w:customStyle="1" w:styleId="Heading8Char">
    <w:name w:val="Heading 8 Char"/>
    <w:basedOn w:val="DefaultParagraphFont"/>
    <w:link w:val="Heading8"/>
    <w:rsid w:val="00E90A5A"/>
    <w:rPr>
      <w:rFonts w:ascii=".VnTime" w:eastAsia="Times New Roman" w:hAnsi=".VnTime" w:cs="Times New Roman"/>
      <w:b/>
      <w:snapToGrid w:val="0"/>
      <w:szCs w:val="20"/>
      <w:lang w:val="en-US"/>
    </w:rPr>
  </w:style>
  <w:style w:type="character" w:customStyle="1" w:styleId="Heading9Char">
    <w:name w:val="Heading 9 Char"/>
    <w:basedOn w:val="DefaultParagraphFont"/>
    <w:link w:val="Heading9"/>
    <w:rsid w:val="00E90A5A"/>
    <w:rPr>
      <w:rFonts w:ascii=".VnTime" w:eastAsia="Times New Roman" w:hAnsi=".VnTime" w:cs="Times New Roman"/>
      <w:b/>
      <w:snapToGrid w:val="0"/>
      <w:sz w:val="26"/>
      <w:szCs w:val="20"/>
      <w:lang w:val="en-US"/>
    </w:rPr>
  </w:style>
  <w:style w:type="paragraph" w:styleId="Footer">
    <w:name w:val="footer"/>
    <w:basedOn w:val="Normal"/>
    <w:link w:val="FooterChar"/>
    <w:uiPriority w:val="99"/>
    <w:unhideWhenUsed/>
    <w:rsid w:val="00E90A5A"/>
    <w:pPr>
      <w:tabs>
        <w:tab w:val="center" w:pos="4680"/>
        <w:tab w:val="right" w:pos="9360"/>
      </w:tabs>
    </w:pPr>
  </w:style>
  <w:style w:type="character" w:customStyle="1" w:styleId="FooterChar">
    <w:name w:val="Footer Char"/>
    <w:basedOn w:val="DefaultParagraphFont"/>
    <w:link w:val="Footer"/>
    <w:uiPriority w:val="99"/>
    <w:rsid w:val="00E90A5A"/>
    <w:rPr>
      <w:rFonts w:ascii=".VnTime" w:eastAsia="Times New Roman" w:hAnsi=".VnTime" w:cs="Times New Roman"/>
      <w:sz w:val="28"/>
      <w:szCs w:val="24"/>
      <w:lang w:val="en-US"/>
    </w:rPr>
  </w:style>
  <w:style w:type="paragraph" w:styleId="ListParagraph">
    <w:name w:val="List Paragraph"/>
    <w:basedOn w:val="Normal"/>
    <w:uiPriority w:val="34"/>
    <w:qFormat/>
    <w:rsid w:val="00E90A5A"/>
    <w:pPr>
      <w:ind w:left="720"/>
      <w:contextualSpacing/>
    </w:pPr>
  </w:style>
  <w:style w:type="paragraph" w:styleId="BodyText">
    <w:name w:val="Body Text"/>
    <w:basedOn w:val="Normal"/>
    <w:link w:val="BodyTextChar"/>
    <w:rsid w:val="00E90A5A"/>
    <w:pPr>
      <w:jc w:val="both"/>
    </w:pPr>
    <w:rPr>
      <w:rFonts w:ascii=".VnTimeH" w:eastAsia="MS Mincho" w:hAnsi=".VnTimeH"/>
      <w:snapToGrid w:val="0"/>
      <w:szCs w:val="20"/>
    </w:rPr>
  </w:style>
  <w:style w:type="character" w:customStyle="1" w:styleId="BodyTextChar">
    <w:name w:val="Body Text Char"/>
    <w:basedOn w:val="DefaultParagraphFont"/>
    <w:link w:val="BodyText"/>
    <w:rsid w:val="00E90A5A"/>
    <w:rPr>
      <w:rFonts w:ascii=".VnTimeH" w:eastAsia="MS Mincho" w:hAnsi=".VnTimeH" w:cs="Times New Roman"/>
      <w:snapToGrid w:val="0"/>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CE5F0-1E4F-4A2B-815F-FB856C0B9DF2}"/>
</file>

<file path=customXml/itemProps2.xml><?xml version="1.0" encoding="utf-8"?>
<ds:datastoreItem xmlns:ds="http://schemas.openxmlformats.org/officeDocument/2006/customXml" ds:itemID="{50E99E55-0986-4D6A-8469-7329F6ED4044}"/>
</file>

<file path=customXml/itemProps3.xml><?xml version="1.0" encoding="utf-8"?>
<ds:datastoreItem xmlns:ds="http://schemas.openxmlformats.org/officeDocument/2006/customXml" ds:itemID="{3FD64B66-6135-4F8E-8307-1EB76CC96684}"/>
</file>

<file path=docProps/app.xml><?xml version="1.0" encoding="utf-8"?>
<Properties xmlns="http://schemas.openxmlformats.org/officeDocument/2006/extended-properties" xmlns:vt="http://schemas.openxmlformats.org/officeDocument/2006/docPropsVTypes">
  <Template>Normal.dotm</Template>
  <TotalTime>109</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UBCK</dc:creator>
  <cp:lastModifiedBy>UBCKNN</cp:lastModifiedBy>
  <cp:revision>16</cp:revision>
  <cp:lastPrinted>2017-03-20T08:34:00Z</cp:lastPrinted>
  <dcterms:created xsi:type="dcterms:W3CDTF">2017-03-13T05:08:00Z</dcterms:created>
  <dcterms:modified xsi:type="dcterms:W3CDTF">2017-03-20T08:36:00Z</dcterms:modified>
</cp:coreProperties>
</file>