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6840"/>
      </w:tblGrid>
      <w:tr w:rsidR="00000000" w:rsidTr="003E44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576C1">
            <w:pPr>
              <w:spacing w:before="120"/>
              <w:jc w:val="center"/>
            </w:pPr>
            <w:r>
              <w:rPr>
                <w:b/>
                <w:bCs/>
              </w:rPr>
              <w:t xml:space="preserve">CHÍNH PHỦ 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576C1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–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br/>
              <w:t>--------------</w:t>
            </w:r>
          </w:p>
        </w:tc>
      </w:tr>
      <w:tr w:rsidR="00000000" w:rsidTr="003E44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576C1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 xml:space="preserve">: 93/2010/NĐ-CP 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576C1" w:rsidP="003E4477">
            <w:pPr>
              <w:spacing w:before="120"/>
              <w:jc w:val="center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31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08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2010</w:t>
            </w:r>
          </w:p>
        </w:tc>
      </w:tr>
    </w:tbl>
    <w:p w:rsidR="00000000" w:rsidRDefault="004576C1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000000" w:rsidRDefault="004576C1">
      <w:pPr>
        <w:spacing w:before="120" w:after="280" w:afterAutospacing="1"/>
        <w:jc w:val="center"/>
      </w:pPr>
      <w:r>
        <w:rPr>
          <w:b/>
          <w:bCs/>
        </w:rPr>
        <w:t xml:space="preserve">NGHỊ ĐỊNH </w:t>
      </w:r>
    </w:p>
    <w:p w:rsidR="003E4477" w:rsidRDefault="003E4477" w:rsidP="003E4477">
      <w:pPr>
        <w:spacing w:before="120" w:after="100" w:afterAutospacing="1"/>
        <w:jc w:val="center"/>
      </w:pPr>
      <w:proofErr w:type="spellStart"/>
      <w:r>
        <w:rPr>
          <w:sz w:val="28"/>
          <w:szCs w:val="28"/>
        </w:rPr>
        <w:t>Sửa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24/2010/NĐ-CP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15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200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</w:p>
    <w:p w:rsidR="00000000" w:rsidRDefault="004576C1">
      <w:pPr>
        <w:spacing w:before="120" w:after="280" w:afterAutospacing="1"/>
        <w:jc w:val="center"/>
      </w:pPr>
      <w:r>
        <w:rPr>
          <w:b/>
          <w:bCs/>
        </w:rPr>
        <w:t xml:space="preserve">CHÍNH PHỦ </w:t>
      </w:r>
    </w:p>
    <w:p w:rsidR="00000000" w:rsidRDefault="004576C1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25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12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2001;</w:t>
      </w:r>
      <w:r>
        <w:rPr>
          <w:i/>
          <w:iCs/>
        </w:rPr>
        <w:br/>
      </w: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13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2008;</w:t>
      </w:r>
      <w:r>
        <w:rPr>
          <w:i/>
          <w:iCs/>
        </w:rPr>
        <w:br/>
      </w:r>
      <w:proofErr w:type="spellStart"/>
      <w:r>
        <w:rPr>
          <w:i/>
          <w:iCs/>
        </w:rPr>
        <w:t>Xét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vụ</w:t>
      </w:r>
      <w:proofErr w:type="spellEnd"/>
      <w:r>
        <w:rPr>
          <w:i/>
          <w:iCs/>
        </w:rPr>
        <w:t xml:space="preserve">, </w:t>
      </w:r>
    </w:p>
    <w:p w:rsidR="00000000" w:rsidRDefault="004576C1">
      <w:pPr>
        <w:spacing w:before="120" w:after="280" w:afterAutospacing="1"/>
        <w:jc w:val="center"/>
      </w:pPr>
      <w:r>
        <w:rPr>
          <w:b/>
          <w:bCs/>
        </w:rPr>
        <w:t>NGHỊ ĐỊNH:</w:t>
      </w:r>
    </w:p>
    <w:p w:rsidR="00000000" w:rsidRDefault="004576C1">
      <w:pPr>
        <w:spacing w:before="120" w:after="280" w:afterAutospacing="1"/>
      </w:pPr>
      <w:proofErr w:type="spellStart"/>
      <w:proofErr w:type="gram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</w:t>
      </w:r>
      <w:proofErr w:type="gramEnd"/>
      <w:r>
        <w:rPr>
          <w:b/>
          <w:bCs/>
        </w:rP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</w:t>
      </w:r>
      <w:r>
        <w:t>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24/2010/NĐ-CP </w:t>
      </w:r>
      <w:proofErr w:type="spellStart"/>
      <w:r>
        <w:t>ngày</w:t>
      </w:r>
      <w:proofErr w:type="spellEnd"/>
      <w:r>
        <w:t xml:space="preserve"> 15 </w:t>
      </w:r>
      <w:proofErr w:type="spellStart"/>
      <w:r>
        <w:t>tháng</w:t>
      </w:r>
      <w:proofErr w:type="spellEnd"/>
      <w:r>
        <w:t xml:space="preserve"> 3 </w:t>
      </w:r>
      <w:proofErr w:type="spellStart"/>
      <w:r>
        <w:t>năm</w:t>
      </w:r>
      <w:proofErr w:type="spellEnd"/>
      <w:r>
        <w:t xml:space="preserve"> 2010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000000" w:rsidRDefault="004576C1">
      <w:pPr>
        <w:spacing w:before="120" w:after="280" w:afterAutospacing="1"/>
      </w:pPr>
      <w:r>
        <w:t xml:space="preserve">1.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bookmarkStart w:id="0" w:name="dc_1"/>
      <w:proofErr w:type="spellStart"/>
      <w:r>
        <w:t>Điều</w:t>
      </w:r>
      <w:proofErr w:type="spellEnd"/>
      <w:r>
        <w:t xml:space="preserve"> 26: </w:t>
      </w:r>
      <w:bookmarkEnd w:id="0"/>
    </w:p>
    <w:p w:rsidR="00000000" w:rsidRDefault="004576C1">
      <w:pPr>
        <w:spacing w:before="120" w:after="280" w:afterAutospacing="1"/>
      </w:pPr>
      <w:proofErr w:type="gramStart"/>
      <w:r>
        <w:rPr>
          <w:b/>
          <w:bCs/>
        </w:rPr>
        <w:t>“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26.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Thẩm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xét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bộ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cấp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cấp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huyện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lên</w:t>
      </w:r>
      <w:proofErr w:type="spellEnd"/>
    </w:p>
    <w:p w:rsidR="00000000" w:rsidRDefault="004576C1">
      <w:pPr>
        <w:spacing w:before="120" w:after="280" w:afterAutospacing="1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đứn</w:t>
      </w:r>
      <w:r>
        <w:t>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2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rPr>
          <w:b/>
          <w:bCs/>
        </w:rPr>
        <w:t>”.</w:t>
      </w:r>
    </w:p>
    <w:p w:rsidR="00000000" w:rsidRDefault="004576C1">
      <w:pPr>
        <w:spacing w:before="120" w:after="280" w:afterAutospacing="1"/>
      </w:pPr>
      <w:r>
        <w:t xml:space="preserve">2.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bookmarkStart w:id="1" w:name="dc_2"/>
      <w:proofErr w:type="spellStart"/>
      <w:r>
        <w:t>khoản</w:t>
      </w:r>
      <w:proofErr w:type="spellEnd"/>
      <w:r>
        <w:t xml:space="preserve"> 3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</w:t>
      </w:r>
      <w:r>
        <w:t>n</w:t>
      </w:r>
      <w:proofErr w:type="spellEnd"/>
      <w:r>
        <w:t xml:space="preserve"> 5 </w:t>
      </w:r>
      <w:proofErr w:type="spellStart"/>
      <w:r>
        <w:t>Điều</w:t>
      </w:r>
      <w:proofErr w:type="spellEnd"/>
      <w:r>
        <w:t xml:space="preserve"> 30</w:t>
      </w:r>
      <w:bookmarkEnd w:id="1"/>
      <w:r>
        <w:t xml:space="preserve">: </w:t>
      </w:r>
    </w:p>
    <w:p w:rsidR="00000000" w:rsidRDefault="004576C1">
      <w:pPr>
        <w:spacing w:before="120" w:after="280" w:afterAutospacing="1"/>
      </w:pPr>
      <w:proofErr w:type="gramStart"/>
      <w:r>
        <w:rPr>
          <w:b/>
          <w:bCs/>
        </w:rPr>
        <w:t>“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30.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nâng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</w:p>
    <w:p w:rsidR="00000000" w:rsidRDefault="004576C1">
      <w:pPr>
        <w:spacing w:before="120" w:after="280" w:afterAutospacing="1"/>
      </w:pPr>
      <w:r>
        <w:t xml:space="preserve">3.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2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ngạch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ngạch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ngạch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</w:t>
      </w:r>
      <w:r>
        <w:t>ơng</w:t>
      </w:r>
      <w:proofErr w:type="spellEnd"/>
      <w:r>
        <w:t xml:space="preserve">;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ngạch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ngạch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. </w:t>
      </w:r>
    </w:p>
    <w:p w:rsidR="00000000" w:rsidRDefault="004576C1">
      <w:pPr>
        <w:spacing w:before="120" w:after="280" w:afterAutospacing="1"/>
      </w:pPr>
      <w:proofErr w:type="gramStart"/>
      <w:r>
        <w:t xml:space="preserve">5.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ngạch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rPr>
          <w:b/>
          <w:bCs/>
        </w:rPr>
        <w:t>”.</w:t>
      </w:r>
      <w:proofErr w:type="gramEnd"/>
    </w:p>
    <w:p w:rsidR="00000000" w:rsidRDefault="004576C1">
      <w:pPr>
        <w:spacing w:before="120" w:after="280" w:afterAutospacing="1"/>
      </w:pPr>
      <w:r>
        <w:t xml:space="preserve">3.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</w:t>
      </w:r>
      <w:r>
        <w:t>i</w:t>
      </w:r>
      <w:proofErr w:type="spellEnd"/>
      <w:r>
        <w:t xml:space="preserve"> </w:t>
      </w:r>
      <w:bookmarkStart w:id="2" w:name="dc_3"/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36</w:t>
      </w:r>
      <w:bookmarkEnd w:id="2"/>
      <w:r>
        <w:t xml:space="preserve">: </w:t>
      </w:r>
    </w:p>
    <w:p w:rsidR="00000000" w:rsidRDefault="004576C1">
      <w:pPr>
        <w:spacing w:before="120" w:after="280" w:afterAutospacing="1"/>
      </w:pPr>
      <w:proofErr w:type="gramStart"/>
      <w:r>
        <w:rPr>
          <w:b/>
          <w:bCs/>
        </w:rPr>
        <w:t>“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36.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Luân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</w:p>
    <w:p w:rsidR="00000000" w:rsidRDefault="004576C1">
      <w:pPr>
        <w:spacing w:before="120" w:after="280" w:afterAutospacing="1"/>
      </w:pPr>
      <w:proofErr w:type="gramStart"/>
      <w:r>
        <w:t xml:space="preserve">1.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luân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rPr>
          <w:b/>
          <w:bCs/>
        </w:rPr>
        <w:t>”.</w:t>
      </w:r>
      <w:proofErr w:type="gramEnd"/>
    </w:p>
    <w:p w:rsidR="00000000" w:rsidRDefault="004576C1">
      <w:pPr>
        <w:spacing w:before="120" w:after="280" w:afterAutospacing="1"/>
      </w:pPr>
      <w:r>
        <w:lastRenderedPageBreak/>
        <w:t xml:space="preserve">4.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bookmarkStart w:id="3" w:name="dc_4"/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39</w:t>
      </w:r>
      <w:bookmarkEnd w:id="3"/>
      <w:r>
        <w:t>:</w:t>
      </w:r>
    </w:p>
    <w:p w:rsidR="00000000" w:rsidRDefault="004576C1">
      <w:pPr>
        <w:spacing w:before="120" w:after="280" w:afterAutospacing="1"/>
      </w:pPr>
      <w:proofErr w:type="gramStart"/>
      <w:r>
        <w:rPr>
          <w:b/>
          <w:bCs/>
        </w:rPr>
        <w:t>“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39.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lu</w:t>
      </w:r>
      <w:r>
        <w:rPr>
          <w:b/>
          <w:bCs/>
        </w:rPr>
        <w:t>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chuyển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biệt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phái</w:t>
      </w:r>
      <w:proofErr w:type="spellEnd"/>
    </w:p>
    <w:p w:rsidR="00000000" w:rsidRDefault="004576C1">
      <w:pPr>
        <w:spacing w:before="120" w:after="280" w:afterAutospacing="1"/>
      </w:pPr>
      <w:r>
        <w:t xml:space="preserve">1.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luân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ngạch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28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thôi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luân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rPr>
          <w:b/>
          <w:bCs/>
        </w:rPr>
        <w:t xml:space="preserve">”. </w:t>
      </w:r>
    </w:p>
    <w:p w:rsidR="00000000" w:rsidRDefault="004576C1">
      <w:pPr>
        <w:spacing w:before="120" w:after="280" w:afterAutospacing="1"/>
      </w:pPr>
      <w:proofErr w:type="spellStart"/>
      <w:proofErr w:type="gram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Hiệu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</w:p>
    <w:p w:rsidR="00000000" w:rsidRDefault="004576C1">
      <w:pPr>
        <w:spacing w:before="120" w:after="280" w:afterAutospacing="1"/>
      </w:pPr>
      <w:proofErr w:type="spellStart"/>
      <w:proofErr w:type="gram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22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2010.</w:t>
      </w:r>
      <w:proofErr w:type="gramEnd"/>
      <w:r>
        <w:t xml:space="preserve"> </w:t>
      </w:r>
    </w:p>
    <w:p w:rsidR="00000000" w:rsidRDefault="004576C1">
      <w:pPr>
        <w:spacing w:before="120" w:after="280" w:afterAutospacing="1"/>
      </w:pPr>
      <w:proofErr w:type="spellStart"/>
      <w:proofErr w:type="gram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</w:p>
    <w:p w:rsidR="00000000" w:rsidRDefault="004576C1">
      <w:pPr>
        <w:spacing w:before="120" w:after="280" w:afterAutospacing="1"/>
      </w:pP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>,</w:t>
      </w:r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./. </w:t>
      </w:r>
    </w:p>
    <w:p w:rsidR="00000000" w:rsidRDefault="004576C1">
      <w:pPr>
        <w:spacing w:before="120" w:after="280" w:afterAutospacing="1"/>
        <w:jc w:val="center"/>
      </w:pPr>
      <w:r>
        <w:t> </w:t>
      </w:r>
    </w:p>
    <w:tbl>
      <w:tblPr>
        <w:tblW w:w="885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576C1">
            <w:pPr>
              <w:spacing w:before="120" w:after="280" w:afterAutospacing="1"/>
            </w:pPr>
            <w:r>
              <w:rPr>
                <w:b/>
                <w:bCs/>
                <w:i/>
                <w:iCs/>
              </w:rPr>
              <w:t> </w:t>
            </w:r>
          </w:p>
          <w:p w:rsidR="00000000" w:rsidRDefault="004576C1">
            <w:pPr>
              <w:spacing w:before="120"/>
            </w:pP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 xml:space="preserve">: 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 xml:space="preserve">- Ban </w:t>
            </w:r>
            <w:proofErr w:type="spellStart"/>
            <w:r>
              <w:rPr>
                <w:sz w:val="16"/>
              </w:rPr>
              <w:t>Bí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Đảng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</w:t>
            </w:r>
            <w:r>
              <w:rPr>
                <w:sz w:val="16"/>
              </w:rPr>
              <w:t>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ngang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CP;</w:t>
            </w:r>
            <w:r>
              <w:rPr>
                <w:sz w:val="16"/>
              </w:rPr>
              <w:br/>
              <w:t xml:space="preserve">- VP BCĐ TW </w:t>
            </w:r>
            <w:proofErr w:type="spellStart"/>
            <w:r>
              <w:rPr>
                <w:sz w:val="16"/>
              </w:rPr>
              <w:t>về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chống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nhũng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HĐND, UBND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thành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phố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TW;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Đảng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tịch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đồng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</w:t>
            </w:r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Tòa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Viện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Giám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tài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gia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Ngân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hàng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Xã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Ngân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hàng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triển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Việt</w:t>
            </w:r>
            <w:proofErr w:type="spellEnd"/>
            <w:r>
              <w:rPr>
                <w:sz w:val="16"/>
              </w:rPr>
              <w:t xml:space="preserve"> Nam;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Mặt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trận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Việt</w:t>
            </w:r>
            <w:proofErr w:type="spellEnd"/>
            <w:r>
              <w:rPr>
                <w:sz w:val="16"/>
              </w:rPr>
              <w:t xml:space="preserve"> Nam;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đoàn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thể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VPCP: BTCN,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PCN, </w:t>
            </w:r>
            <w:proofErr w:type="spellStart"/>
            <w:r>
              <w:rPr>
                <w:sz w:val="16"/>
              </w:rPr>
              <w:t>Cổng</w:t>
            </w:r>
            <w:proofErr w:type="spellEnd"/>
            <w:r>
              <w:rPr>
                <w:sz w:val="16"/>
              </w:rPr>
              <w:t xml:space="preserve"> TTĐT,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Vụ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đơn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Công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Lưu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</w:t>
            </w:r>
            <w:proofErr w:type="spellEnd"/>
            <w:r>
              <w:rPr>
                <w:sz w:val="16"/>
              </w:rPr>
              <w:t>, TCCV (5b).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576C1">
            <w:pPr>
              <w:spacing w:before="120"/>
              <w:jc w:val="center"/>
            </w:pPr>
            <w:r>
              <w:rPr>
                <w:b/>
                <w:bCs/>
              </w:rPr>
              <w:t xml:space="preserve">TM. CHÍNH PHỦ </w:t>
            </w:r>
            <w:r>
              <w:rPr>
                <w:b/>
                <w:bCs/>
              </w:rPr>
              <w:br/>
              <w:t xml:space="preserve">THỦ TƯỚNG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Nguyễn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Tấn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Dũng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</w:tbl>
    <w:p w:rsidR="004576C1" w:rsidRDefault="004576C1">
      <w:pPr>
        <w:spacing w:before="120" w:after="280" w:afterAutospacing="1"/>
      </w:pPr>
      <w:r>
        <w:t> </w:t>
      </w:r>
    </w:p>
    <w:sectPr w:rsidR="004576C1" w:rsidSect="003E4477">
      <w:pgSz w:w="12240" w:h="15840"/>
      <w:pgMar w:top="1152" w:right="1008" w:bottom="720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SortMethod w:val="0000"/>
  <w:defaultTabStop w:val="720"/>
  <w:noPunctuationKerning/>
  <w:characterSpacingControl w:val="doNotCompress"/>
  <w:compat/>
  <w:rsids>
    <w:rsidRoot w:val="007A00F8"/>
    <w:rsid w:val="003E4477"/>
    <w:rsid w:val="004576C1"/>
    <w:rsid w:val="007A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AEAA31-E963-4AB5-9CB8-CC5499B28BEA}"/>
</file>

<file path=customXml/itemProps2.xml><?xml version="1.0" encoding="utf-8"?>
<ds:datastoreItem xmlns:ds="http://schemas.openxmlformats.org/officeDocument/2006/customXml" ds:itemID="{246C1E03-236D-44A2-A4D8-C596746D6BD2}"/>
</file>

<file path=customXml/itemProps3.xml><?xml version="1.0" encoding="utf-8"?>
<ds:datastoreItem xmlns:ds="http://schemas.openxmlformats.org/officeDocument/2006/customXml" ds:itemID="{3E9235A7-D42E-4CCC-8015-43D2FB63D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1601-01-01T00:00:00Z</cp:lastPrinted>
  <dcterms:created xsi:type="dcterms:W3CDTF">2016-09-12T08:49:00Z</dcterms:created>
  <dcterms:modified xsi:type="dcterms:W3CDTF">2016-09-12T08:53:00Z</dcterms:modified>
</cp:coreProperties>
</file>